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7EFCAD8">
      <w:pPr>
        <w:keepNext w:val="0"/>
        <w:keepLines w:val="0"/>
        <w:pageBreakBefore w:val="0"/>
        <w:kinsoku/>
        <w:overflowPunct/>
        <w:topLinePunct w:val="0"/>
        <w:bidi w:val="0"/>
        <w:snapToGrid/>
        <w:spacing w:line="600" w:lineRule="exact"/>
        <w:ind w:left="0"/>
        <w:jc w:val="center"/>
        <w:textAlignment w:val="auto"/>
        <w:rPr>
          <w:rFonts w:ascii="方正小标宋简体" w:hAnsi="宋体" w:eastAsia="方正小标宋简体"/>
          <w:color w:val="auto"/>
          <w:sz w:val="44"/>
          <w:szCs w:val="32"/>
          <w:highlight w:val="none"/>
        </w:rPr>
      </w:pPr>
      <w:r>
        <w:rPr>
          <w:rFonts w:hint="eastAsia" w:ascii="方正小标宋简体" w:hAnsi="宋体" w:eastAsia="方正小标宋简体"/>
          <w:color w:val="auto"/>
          <w:sz w:val="44"/>
          <w:szCs w:val="32"/>
          <w:highlight w:val="none"/>
        </w:rPr>
        <w:t>团体标准《糖料蔗单芽种茎(苗)机械化栽培技术规程》（征求意见稿）编制说明</w:t>
      </w:r>
    </w:p>
    <w:p w14:paraId="7545AED6">
      <w:pPr>
        <w:keepNext w:val="0"/>
        <w:keepLines w:val="0"/>
        <w:pageBreakBefore w:val="0"/>
        <w:kinsoku/>
        <w:overflowPunct/>
        <w:topLinePunct w:val="0"/>
        <w:autoSpaceDE w:val="0"/>
        <w:autoSpaceDN w:val="0"/>
        <w:bidi w:val="0"/>
        <w:adjustRightInd w:val="0"/>
        <w:snapToGrid/>
        <w:spacing w:line="560" w:lineRule="exact"/>
        <w:ind w:left="0" w:firstLine="640" w:firstLineChars="200"/>
        <w:jc w:val="left"/>
        <w:textAlignment w:val="auto"/>
        <w:rPr>
          <w:rFonts w:ascii="黑体" w:hAnsi="黑体" w:eastAsia="黑体" w:cs="仿宋_GB2312"/>
          <w:color w:val="auto"/>
          <w:sz w:val="32"/>
          <w:szCs w:val="32"/>
          <w:highlight w:val="none"/>
        </w:rPr>
      </w:pPr>
    </w:p>
    <w:p w14:paraId="0D5136F0">
      <w:pPr>
        <w:keepNext w:val="0"/>
        <w:keepLines w:val="0"/>
        <w:pageBreakBefore w:val="0"/>
        <w:kinsoku/>
        <w:overflowPunct/>
        <w:topLinePunct w:val="0"/>
        <w:autoSpaceDE w:val="0"/>
        <w:autoSpaceDN w:val="0"/>
        <w:bidi w:val="0"/>
        <w:adjustRightInd w:val="0"/>
        <w:snapToGrid/>
        <w:spacing w:line="560" w:lineRule="exact"/>
        <w:ind w:left="0" w:firstLine="640" w:firstLineChars="200"/>
        <w:jc w:val="left"/>
        <w:textAlignment w:val="auto"/>
        <w:rPr>
          <w:rFonts w:ascii="黑体" w:hAnsi="黑体" w:eastAsia="黑体" w:cs="仿宋_GB2312"/>
          <w:color w:val="auto"/>
          <w:sz w:val="32"/>
          <w:szCs w:val="32"/>
          <w:highlight w:val="none"/>
        </w:rPr>
      </w:pPr>
      <w:r>
        <w:rPr>
          <w:rFonts w:hint="eastAsia" w:ascii="黑体" w:hAnsi="黑体" w:eastAsia="黑体" w:cs="仿宋_GB2312"/>
          <w:color w:val="auto"/>
          <w:sz w:val="32"/>
          <w:szCs w:val="32"/>
          <w:highlight w:val="none"/>
        </w:rPr>
        <w:t>一、任务来源、起草单位、主要起草人</w:t>
      </w:r>
    </w:p>
    <w:p w14:paraId="7FB55DF0">
      <w:pPr>
        <w:keepNext w:val="0"/>
        <w:keepLines w:val="0"/>
        <w:pageBreakBefore w:val="0"/>
        <w:kinsoku/>
        <w:overflowPunct/>
        <w:topLinePunct w:val="0"/>
        <w:bidi w:val="0"/>
        <w:snapToGrid/>
        <w:ind w:left="0" w:firstLine="640" w:firstLineChars="200"/>
        <w:textAlignment w:val="auto"/>
        <w:rPr>
          <w:rFonts w:ascii="仿宋_GB2312" w:hAnsi="宋体" w:eastAsia="仿宋_GB2312"/>
          <w:color w:val="auto"/>
          <w:sz w:val="32"/>
          <w:szCs w:val="28"/>
          <w:highlight w:val="none"/>
        </w:rPr>
      </w:pPr>
      <w:r>
        <w:rPr>
          <w:rFonts w:hint="eastAsia" w:ascii="仿宋_GB2312" w:hAnsi="宋体" w:eastAsia="仿宋_GB2312"/>
          <w:color w:val="auto"/>
          <w:sz w:val="32"/>
          <w:szCs w:val="28"/>
          <w:highlight w:val="none"/>
        </w:rPr>
        <w:t>根据《广西标准化协会关于下达20</w:t>
      </w:r>
      <w:r>
        <w:rPr>
          <w:rFonts w:hint="eastAsia" w:ascii="仿宋_GB2312" w:hAnsi="宋体"/>
          <w:color w:val="auto"/>
          <w:sz w:val="32"/>
          <w:szCs w:val="28"/>
          <w:highlight w:val="none"/>
          <w:lang w:val="en-US" w:eastAsia="zh-CN"/>
        </w:rPr>
        <w:t>25</w:t>
      </w:r>
      <w:r>
        <w:rPr>
          <w:rFonts w:hint="eastAsia" w:ascii="仿宋_GB2312" w:hAnsi="宋体" w:eastAsia="仿宋_GB2312"/>
          <w:color w:val="auto"/>
          <w:sz w:val="32"/>
          <w:szCs w:val="28"/>
          <w:highlight w:val="none"/>
        </w:rPr>
        <w:t>年第</w:t>
      </w:r>
      <w:r>
        <w:rPr>
          <w:rFonts w:hint="eastAsia" w:ascii="仿宋_GB2312" w:hAnsi="宋体"/>
          <w:color w:val="auto"/>
          <w:sz w:val="32"/>
          <w:szCs w:val="28"/>
          <w:highlight w:val="none"/>
          <w:lang w:val="en-US" w:eastAsia="zh-CN"/>
        </w:rPr>
        <w:t>四十三</w:t>
      </w:r>
      <w:r>
        <w:rPr>
          <w:rFonts w:hint="eastAsia" w:ascii="仿宋_GB2312" w:hAnsi="宋体" w:eastAsia="仿宋_GB2312"/>
          <w:color w:val="auto"/>
          <w:sz w:val="32"/>
          <w:szCs w:val="28"/>
          <w:highlight w:val="none"/>
        </w:rPr>
        <w:t>批团体标准制修订项目计划的通知》（桂标协〔20</w:t>
      </w:r>
      <w:r>
        <w:rPr>
          <w:rFonts w:hint="eastAsia" w:ascii="仿宋_GB2312" w:hAnsi="宋体"/>
          <w:color w:val="auto"/>
          <w:sz w:val="32"/>
          <w:szCs w:val="28"/>
          <w:highlight w:val="none"/>
          <w:lang w:val="en-US" w:eastAsia="zh-CN"/>
        </w:rPr>
        <w:t>25</w:t>
      </w:r>
      <w:r>
        <w:rPr>
          <w:rFonts w:hint="eastAsia" w:ascii="仿宋_GB2312" w:hAnsi="宋体" w:eastAsia="仿宋_GB2312"/>
          <w:color w:val="auto"/>
          <w:sz w:val="32"/>
          <w:szCs w:val="28"/>
          <w:highlight w:val="none"/>
        </w:rPr>
        <w:t>〕</w:t>
      </w:r>
      <w:r>
        <w:rPr>
          <w:rFonts w:hint="eastAsia" w:ascii="仿宋_GB2312" w:hAnsi="宋体"/>
          <w:color w:val="auto"/>
          <w:sz w:val="32"/>
          <w:szCs w:val="28"/>
          <w:highlight w:val="none"/>
          <w:lang w:val="en-US" w:eastAsia="zh-CN"/>
        </w:rPr>
        <w:t>396</w:t>
      </w:r>
      <w:r>
        <w:rPr>
          <w:rFonts w:hint="eastAsia" w:ascii="仿宋_GB2312" w:hAnsi="宋体" w:eastAsia="仿宋_GB2312"/>
          <w:color w:val="auto"/>
          <w:sz w:val="32"/>
          <w:szCs w:val="28"/>
          <w:highlight w:val="none"/>
        </w:rPr>
        <w:t>号）文件精神，由</w:t>
      </w:r>
      <w:r>
        <w:rPr>
          <w:rFonts w:hint="eastAsia" w:ascii="仿宋_GB2312" w:hAnsi="宋体"/>
          <w:color w:val="auto"/>
          <w:sz w:val="32"/>
          <w:szCs w:val="28"/>
          <w:highlight w:val="none"/>
          <w:lang w:val="en-US" w:eastAsia="zh-CN"/>
        </w:rPr>
        <w:t>广西壮族自治区农业科学院</w:t>
      </w:r>
      <w:r>
        <w:rPr>
          <w:rFonts w:hint="eastAsia" w:ascii="仿宋_GB2312" w:hAnsi="宋体" w:eastAsia="仿宋_GB2312"/>
          <w:color w:val="auto"/>
          <w:sz w:val="32"/>
          <w:szCs w:val="28"/>
          <w:highlight w:val="none"/>
        </w:rPr>
        <w:t>提出，</w:t>
      </w:r>
      <w:r>
        <w:rPr>
          <w:rFonts w:hint="eastAsia" w:ascii="仿宋_GB2312" w:hAnsi="宋体"/>
          <w:color w:val="auto"/>
          <w:sz w:val="32"/>
          <w:szCs w:val="28"/>
          <w:highlight w:val="none"/>
          <w:lang w:val="en-US" w:eastAsia="zh-CN"/>
        </w:rPr>
        <w:t>广西壮族自治区农业科学院、广西益兴现代农业科技发展有限公司、广西武宣县博盛农机专业合作社、广西沛雨农业发展有限公司</w:t>
      </w:r>
      <w:r>
        <w:rPr>
          <w:rFonts w:hint="eastAsia" w:ascii="仿宋_GB2312" w:hAnsi="宋体" w:eastAsia="仿宋_GB2312"/>
          <w:color w:val="auto"/>
          <w:sz w:val="32"/>
          <w:szCs w:val="28"/>
          <w:highlight w:val="none"/>
        </w:rPr>
        <w:t>等</w:t>
      </w:r>
      <w:r>
        <w:rPr>
          <w:rFonts w:ascii="仿宋_GB2312" w:hAnsi="宋体" w:eastAsia="仿宋_GB2312"/>
          <w:color w:val="auto"/>
          <w:sz w:val="32"/>
          <w:szCs w:val="28"/>
          <w:highlight w:val="none"/>
        </w:rPr>
        <w:t>单位</w:t>
      </w:r>
      <w:r>
        <w:rPr>
          <w:rFonts w:hint="eastAsia" w:ascii="仿宋_GB2312" w:hAnsi="宋体" w:eastAsia="仿宋_GB2312"/>
          <w:color w:val="auto"/>
          <w:sz w:val="32"/>
          <w:szCs w:val="28"/>
          <w:highlight w:val="none"/>
        </w:rPr>
        <w:t>共同起草的团体标准《糖料蔗单芽种茎(苗)机械化栽培技术规程》（项目编号：20</w:t>
      </w:r>
      <w:r>
        <w:rPr>
          <w:rFonts w:hint="eastAsia" w:ascii="仿宋_GB2312" w:hAnsi="宋体"/>
          <w:color w:val="auto"/>
          <w:sz w:val="32"/>
          <w:szCs w:val="28"/>
          <w:highlight w:val="none"/>
          <w:lang w:val="en-US" w:eastAsia="zh-CN"/>
        </w:rPr>
        <w:t>25</w:t>
      </w:r>
      <w:r>
        <w:rPr>
          <w:rFonts w:hint="eastAsia" w:ascii="仿宋_GB2312" w:hAnsi="宋体" w:eastAsia="仿宋_GB2312"/>
          <w:color w:val="auto"/>
          <w:sz w:val="32"/>
          <w:szCs w:val="28"/>
          <w:highlight w:val="none"/>
        </w:rPr>
        <w:t>-</w:t>
      </w:r>
      <w:r>
        <w:rPr>
          <w:rFonts w:hint="eastAsia" w:ascii="仿宋_GB2312" w:hAnsi="宋体"/>
          <w:color w:val="auto"/>
          <w:sz w:val="32"/>
          <w:szCs w:val="28"/>
          <w:highlight w:val="none"/>
          <w:lang w:val="en-US" w:eastAsia="zh-CN"/>
        </w:rPr>
        <w:t>4314</w:t>
      </w:r>
      <w:r>
        <w:rPr>
          <w:rFonts w:hint="eastAsia" w:ascii="仿宋_GB2312" w:hAnsi="宋体" w:eastAsia="仿宋_GB2312"/>
          <w:color w:val="auto"/>
          <w:sz w:val="32"/>
          <w:szCs w:val="28"/>
          <w:highlight w:val="none"/>
        </w:rPr>
        <w:t>）已获批立项。</w:t>
      </w:r>
    </w:p>
    <w:p w14:paraId="134AFA4C">
      <w:pPr>
        <w:keepNext w:val="0"/>
        <w:keepLines w:val="0"/>
        <w:pageBreakBefore w:val="0"/>
        <w:kinsoku/>
        <w:overflowPunct/>
        <w:topLinePunct w:val="0"/>
        <w:bidi w:val="0"/>
        <w:snapToGrid/>
        <w:ind w:left="0" w:firstLine="640" w:firstLineChars="200"/>
        <w:textAlignment w:val="auto"/>
        <w:rPr>
          <w:rFonts w:ascii="仿宋_GB2312" w:hAnsi="宋体" w:eastAsia="仿宋_GB2312"/>
          <w:color w:val="auto"/>
          <w:sz w:val="32"/>
          <w:szCs w:val="28"/>
          <w:highlight w:val="none"/>
        </w:rPr>
      </w:pPr>
      <w:r>
        <w:rPr>
          <w:rFonts w:hint="eastAsia" w:ascii="仿宋_GB2312" w:hAnsi="宋体" w:eastAsia="仿宋_GB2312"/>
          <w:color w:val="auto"/>
          <w:sz w:val="32"/>
          <w:szCs w:val="28"/>
          <w:highlight w:val="none"/>
        </w:rPr>
        <w:t>为高质量编制团体标准《糖料蔗单芽种茎(苗)机械化栽培技术规程》，由起草单位成立标准编制工作组并进行如下分工：</w:t>
      </w:r>
    </w:p>
    <w:tbl>
      <w:tblPr>
        <w:tblStyle w:val="6"/>
        <w:tblW w:w="4996" w:type="pct"/>
        <w:tblInd w:w="0" w:type="dxa"/>
        <w:tblLayout w:type="autofit"/>
        <w:tblCellMar>
          <w:top w:w="0" w:type="dxa"/>
          <w:left w:w="108" w:type="dxa"/>
          <w:bottom w:w="0" w:type="dxa"/>
          <w:right w:w="108" w:type="dxa"/>
        </w:tblCellMar>
      </w:tblPr>
      <w:tblGrid>
        <w:gridCol w:w="1074"/>
        <w:gridCol w:w="1271"/>
        <w:gridCol w:w="1352"/>
        <w:gridCol w:w="1950"/>
        <w:gridCol w:w="3520"/>
      </w:tblGrid>
      <w:tr w14:paraId="7809343D">
        <w:tblPrEx>
          <w:tblCellMar>
            <w:top w:w="0" w:type="dxa"/>
            <w:left w:w="108" w:type="dxa"/>
            <w:bottom w:w="0" w:type="dxa"/>
            <w:right w:w="108" w:type="dxa"/>
          </w:tblCellMar>
        </w:tblPrEx>
        <w:trPr>
          <w:cantSplit/>
          <w:trHeight w:val="578" w:hRule="atLeast"/>
          <w:tblHeader/>
        </w:trPr>
        <w:tc>
          <w:tcPr>
            <w:tcW w:w="586" w:type="pct"/>
            <w:tcBorders>
              <w:top w:val="single" w:color="auto" w:sz="4" w:space="0"/>
              <w:left w:val="single" w:color="auto" w:sz="4" w:space="0"/>
              <w:bottom w:val="single" w:color="auto" w:sz="4" w:space="0"/>
              <w:right w:val="single" w:color="auto" w:sz="4" w:space="0"/>
            </w:tcBorders>
            <w:vAlign w:val="center"/>
          </w:tcPr>
          <w:p w14:paraId="0E4EF444">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bCs/>
                <w:color w:val="auto"/>
                <w:sz w:val="24"/>
                <w:highlight w:val="none"/>
              </w:rPr>
            </w:pPr>
            <w:r>
              <w:rPr>
                <w:rFonts w:hint="eastAsia" w:ascii="仿宋_GB2312" w:hAnsi="仿宋_GB2312" w:eastAsia="仿宋_GB2312" w:cs="仿宋_GB2312"/>
                <w:b/>
                <w:bCs/>
                <w:color w:val="auto"/>
                <w:sz w:val="24"/>
                <w:highlight w:val="none"/>
              </w:rPr>
              <w:t>姓  名</w:t>
            </w:r>
          </w:p>
        </w:tc>
        <w:tc>
          <w:tcPr>
            <w:tcW w:w="693" w:type="pct"/>
            <w:tcBorders>
              <w:top w:val="single" w:color="auto" w:sz="4" w:space="0"/>
              <w:left w:val="single" w:color="auto" w:sz="4" w:space="0"/>
              <w:bottom w:val="single" w:color="auto" w:sz="4" w:space="0"/>
              <w:right w:val="single" w:color="auto" w:sz="4" w:space="0"/>
            </w:tcBorders>
            <w:vAlign w:val="center"/>
          </w:tcPr>
          <w:p w14:paraId="4F658FA2">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default" w:ascii="仿宋_GB2312" w:hAnsi="仿宋_GB2312" w:eastAsia="仿宋_GB2312" w:cs="仿宋_GB2312"/>
                <w:b/>
                <w:bCs/>
                <w:color w:val="auto"/>
                <w:sz w:val="24"/>
                <w:highlight w:val="none"/>
                <w:lang w:val="en-US" w:eastAsia="zh-CN"/>
              </w:rPr>
            </w:pPr>
            <w:r>
              <w:rPr>
                <w:rFonts w:hint="eastAsia" w:ascii="仿宋_GB2312" w:hAnsi="仿宋_GB2312" w:cs="仿宋_GB2312"/>
                <w:b/>
                <w:bCs/>
                <w:color w:val="auto"/>
                <w:sz w:val="24"/>
                <w:highlight w:val="none"/>
                <w:lang w:val="en-US" w:eastAsia="zh-CN"/>
              </w:rPr>
              <w:t>从事专业</w:t>
            </w:r>
          </w:p>
        </w:tc>
        <w:tc>
          <w:tcPr>
            <w:tcW w:w="737" w:type="pct"/>
            <w:tcBorders>
              <w:top w:val="single" w:color="auto" w:sz="4" w:space="0"/>
              <w:left w:val="single" w:color="auto" w:sz="4" w:space="0"/>
              <w:bottom w:val="single" w:color="auto" w:sz="4" w:space="0"/>
              <w:right w:val="single" w:color="auto" w:sz="4" w:space="0"/>
            </w:tcBorders>
            <w:vAlign w:val="center"/>
          </w:tcPr>
          <w:p w14:paraId="05FD9FB6">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bCs/>
                <w:color w:val="auto"/>
                <w:sz w:val="24"/>
                <w:highlight w:val="none"/>
              </w:rPr>
            </w:pPr>
            <w:r>
              <w:rPr>
                <w:rFonts w:hint="eastAsia" w:ascii="仿宋_GB2312" w:hAnsi="仿宋_GB2312" w:eastAsia="仿宋_GB2312" w:cs="仿宋_GB2312"/>
                <w:b/>
                <w:bCs/>
                <w:color w:val="auto"/>
                <w:sz w:val="24"/>
                <w:highlight w:val="none"/>
              </w:rPr>
              <w:t>职称/职位</w:t>
            </w:r>
          </w:p>
        </w:tc>
        <w:tc>
          <w:tcPr>
            <w:tcW w:w="1063" w:type="pct"/>
            <w:tcBorders>
              <w:top w:val="single" w:color="auto" w:sz="4" w:space="0"/>
              <w:left w:val="single" w:color="auto" w:sz="4" w:space="0"/>
              <w:bottom w:val="single" w:color="auto" w:sz="4" w:space="0"/>
              <w:right w:val="single" w:color="auto" w:sz="4" w:space="0"/>
            </w:tcBorders>
            <w:vAlign w:val="center"/>
          </w:tcPr>
          <w:p w14:paraId="6DE4B5C6">
            <w:pPr>
              <w:keepNext w:val="0"/>
              <w:keepLines w:val="0"/>
              <w:pageBreakBefore w:val="0"/>
              <w:widowControl w:val="0"/>
              <w:kinsoku/>
              <w:wordWrap/>
              <w:overflowPunct/>
              <w:topLinePunct w:val="0"/>
              <w:autoSpaceDE/>
              <w:autoSpaceDN/>
              <w:bidi w:val="0"/>
              <w:adjustRightInd/>
              <w:snapToGrid/>
              <w:ind w:left="0" w:firstLine="0" w:firstLineChars="0"/>
              <w:jc w:val="center"/>
              <w:textAlignment w:val="auto"/>
              <w:rPr>
                <w:rFonts w:hint="eastAsia" w:ascii="仿宋_GB2312" w:hAnsi="仿宋_GB2312" w:eastAsia="仿宋_GB2312" w:cs="仿宋_GB2312"/>
                <w:b/>
                <w:bCs/>
                <w:color w:val="auto"/>
                <w:sz w:val="24"/>
                <w:highlight w:val="none"/>
              </w:rPr>
            </w:pPr>
            <w:r>
              <w:rPr>
                <w:rFonts w:hint="eastAsia" w:ascii="仿宋_GB2312" w:hAnsi="仿宋_GB2312" w:eastAsia="仿宋_GB2312" w:cs="仿宋_GB2312"/>
                <w:b/>
                <w:bCs/>
                <w:color w:val="auto"/>
                <w:sz w:val="24"/>
                <w:highlight w:val="none"/>
              </w:rPr>
              <w:t>工作单位</w:t>
            </w:r>
          </w:p>
        </w:tc>
        <w:tc>
          <w:tcPr>
            <w:tcW w:w="1919" w:type="pct"/>
            <w:tcBorders>
              <w:top w:val="single" w:color="auto" w:sz="4" w:space="0"/>
              <w:left w:val="single" w:color="auto" w:sz="4" w:space="0"/>
              <w:bottom w:val="single" w:color="auto" w:sz="4" w:space="0"/>
              <w:right w:val="single" w:color="auto" w:sz="4" w:space="0"/>
            </w:tcBorders>
            <w:vAlign w:val="center"/>
          </w:tcPr>
          <w:p w14:paraId="7A1E50A8">
            <w:pPr>
              <w:keepNext w:val="0"/>
              <w:keepLines w:val="0"/>
              <w:pageBreakBefore w:val="0"/>
              <w:widowControl w:val="0"/>
              <w:kinsoku/>
              <w:wordWrap/>
              <w:overflowPunct/>
              <w:topLinePunct w:val="0"/>
              <w:autoSpaceDE/>
              <w:autoSpaceDN/>
              <w:bidi w:val="0"/>
              <w:adjustRightInd/>
              <w:snapToGrid/>
              <w:ind w:left="0" w:firstLine="0" w:firstLineChars="0"/>
              <w:jc w:val="center"/>
              <w:textAlignment w:val="auto"/>
              <w:rPr>
                <w:rFonts w:hint="eastAsia" w:ascii="仿宋_GB2312" w:hAnsi="仿宋_GB2312" w:eastAsia="仿宋_GB2312" w:cs="仿宋_GB2312"/>
                <w:b/>
                <w:bCs/>
                <w:color w:val="auto"/>
                <w:sz w:val="24"/>
                <w:highlight w:val="none"/>
              </w:rPr>
            </w:pPr>
            <w:r>
              <w:rPr>
                <w:rFonts w:hint="eastAsia" w:ascii="仿宋_GB2312" w:hAnsi="仿宋_GB2312" w:eastAsia="仿宋_GB2312" w:cs="仿宋_GB2312"/>
                <w:b/>
                <w:bCs/>
                <w:color w:val="auto"/>
                <w:sz w:val="24"/>
                <w:highlight w:val="none"/>
              </w:rPr>
              <w:t>主要负责工作</w:t>
            </w:r>
          </w:p>
        </w:tc>
      </w:tr>
      <w:tr w14:paraId="3BA7805A">
        <w:tblPrEx>
          <w:tblCellMar>
            <w:top w:w="0" w:type="dxa"/>
            <w:left w:w="108" w:type="dxa"/>
            <w:bottom w:w="0" w:type="dxa"/>
            <w:right w:w="108" w:type="dxa"/>
          </w:tblCellMar>
        </w:tblPrEx>
        <w:trPr>
          <w:cantSplit/>
          <w:trHeight w:val="732" w:hRule="atLeast"/>
        </w:trPr>
        <w:tc>
          <w:tcPr>
            <w:tcW w:w="586" w:type="pct"/>
            <w:tcBorders>
              <w:top w:val="single" w:color="auto" w:sz="4" w:space="0"/>
              <w:left w:val="single" w:color="auto" w:sz="4" w:space="0"/>
              <w:bottom w:val="single" w:color="auto" w:sz="4" w:space="0"/>
              <w:right w:val="single" w:color="008000" w:sz="4" w:space="0"/>
            </w:tcBorders>
            <w:vAlign w:val="center"/>
          </w:tcPr>
          <w:p w14:paraId="14260811">
            <w:pPr>
              <w:keepNext w:val="0"/>
              <w:keepLines w:val="0"/>
              <w:pageBreakBefore w:val="0"/>
              <w:widowControl w:val="0"/>
              <w:kinsoku/>
              <w:wordWrap/>
              <w:overflowPunct/>
              <w:topLinePunct w:val="0"/>
              <w:autoSpaceDE/>
              <w:autoSpaceDN/>
              <w:bidi w:val="0"/>
              <w:adjustRightInd/>
              <w:snapToGrid/>
              <w:ind w:left="0" w:firstLine="0" w:firstLineChars="0"/>
              <w:jc w:val="center"/>
              <w:textAlignment w:val="auto"/>
              <w:rPr>
                <w:rFonts w:hint="eastAsia" w:ascii="仿宋_GB2312" w:hAnsi="仿宋_GB2312" w:eastAsia="仿宋_GB2312" w:cs="仿宋_GB2312"/>
                <w:color w:val="auto"/>
                <w:sz w:val="24"/>
                <w:highlight w:val="none"/>
                <w:lang w:bidi="ar"/>
              </w:rPr>
            </w:pPr>
            <w:r>
              <w:rPr>
                <w:rFonts w:hint="eastAsia" w:ascii="仿宋_GB2312" w:hAnsi="仿宋_GB2312" w:eastAsia="仿宋_GB2312" w:cs="仿宋_GB2312"/>
                <w:color w:val="auto"/>
                <w:sz w:val="24"/>
                <w:highlight w:val="none"/>
                <w:lang w:val="en-US" w:eastAsia="zh-CN" w:bidi="ar"/>
              </w:rPr>
              <w:t>王维赞</w:t>
            </w:r>
          </w:p>
        </w:tc>
        <w:tc>
          <w:tcPr>
            <w:tcW w:w="693" w:type="pct"/>
            <w:tcBorders>
              <w:top w:val="single" w:color="auto" w:sz="4" w:space="0"/>
              <w:left w:val="single" w:color="auto" w:sz="4" w:space="0"/>
              <w:bottom w:val="single" w:color="auto" w:sz="4" w:space="0"/>
              <w:right w:val="single" w:color="auto" w:sz="4" w:space="0"/>
            </w:tcBorders>
            <w:shd w:val="clear" w:color="auto" w:fill="auto"/>
            <w:vAlign w:val="center"/>
          </w:tcPr>
          <w:p w14:paraId="12102A0D">
            <w:pPr>
              <w:keepNext w:val="0"/>
              <w:keepLines w:val="0"/>
              <w:pageBreakBefore w:val="0"/>
              <w:widowControl w:val="0"/>
              <w:kinsoku/>
              <w:wordWrap/>
              <w:overflowPunct/>
              <w:topLinePunct w:val="0"/>
              <w:autoSpaceDE/>
              <w:autoSpaceDN/>
              <w:bidi w:val="0"/>
              <w:adjustRightInd/>
              <w:snapToGrid/>
              <w:ind w:left="0" w:firstLine="0" w:firstLineChars="0"/>
              <w:jc w:val="center"/>
              <w:textAlignment w:val="auto"/>
              <w:rPr>
                <w:rFonts w:hint="eastAsia" w:ascii="仿宋_GB2312" w:hAnsi="仿宋_GB2312" w:eastAsia="仿宋_GB2312" w:cs="仿宋_GB2312"/>
                <w:color w:val="auto"/>
                <w:sz w:val="24"/>
                <w:highlight w:val="none"/>
                <w:lang w:val="en-US" w:eastAsia="zh-CN" w:bidi="ar"/>
              </w:rPr>
            </w:pPr>
            <w:r>
              <w:rPr>
                <w:rFonts w:hint="eastAsia" w:ascii="仿宋_GB2312" w:hAnsi="仿宋_GB2312" w:eastAsia="仿宋_GB2312" w:cs="仿宋_GB2312"/>
                <w:color w:val="auto"/>
                <w:sz w:val="24"/>
                <w:highlight w:val="none"/>
                <w:lang w:val="en-US" w:eastAsia="zh-CN" w:bidi="ar"/>
              </w:rPr>
              <w:t>甘蔗栽培</w:t>
            </w:r>
          </w:p>
        </w:tc>
        <w:tc>
          <w:tcPr>
            <w:tcW w:w="737" w:type="pct"/>
            <w:tcBorders>
              <w:top w:val="single" w:color="auto" w:sz="4" w:space="0"/>
              <w:left w:val="single" w:color="auto" w:sz="4" w:space="0"/>
              <w:bottom w:val="single" w:color="auto" w:sz="4" w:space="0"/>
              <w:right w:val="single" w:color="auto" w:sz="4" w:space="0"/>
            </w:tcBorders>
            <w:shd w:val="clear" w:color="auto" w:fill="auto"/>
            <w:vAlign w:val="center"/>
          </w:tcPr>
          <w:p w14:paraId="7DCC0421">
            <w:pPr>
              <w:keepNext w:val="0"/>
              <w:keepLines w:val="0"/>
              <w:pageBreakBefore w:val="0"/>
              <w:widowControl w:val="0"/>
              <w:kinsoku/>
              <w:wordWrap/>
              <w:overflowPunct/>
              <w:topLinePunct w:val="0"/>
              <w:autoSpaceDE/>
              <w:autoSpaceDN/>
              <w:bidi w:val="0"/>
              <w:adjustRightInd/>
              <w:snapToGrid/>
              <w:ind w:left="0" w:firstLine="0" w:firstLineChars="0"/>
              <w:jc w:val="center"/>
              <w:textAlignment w:val="auto"/>
              <w:rPr>
                <w:rFonts w:hint="eastAsia" w:ascii="仿宋_GB2312" w:hAnsi="仿宋_GB2312" w:eastAsia="仿宋_GB2312" w:cs="仿宋_GB2312"/>
                <w:color w:val="auto"/>
                <w:sz w:val="24"/>
                <w:highlight w:val="none"/>
                <w:lang w:val="en-US" w:eastAsia="zh-CN" w:bidi="ar"/>
              </w:rPr>
            </w:pPr>
            <w:r>
              <w:rPr>
                <w:rFonts w:hint="eastAsia" w:ascii="仿宋_GB2312" w:hAnsi="仿宋_GB2312" w:eastAsia="仿宋_GB2312" w:cs="仿宋_GB2312"/>
                <w:color w:val="auto"/>
                <w:sz w:val="24"/>
                <w:highlight w:val="none"/>
                <w:lang w:val="en-US" w:eastAsia="zh-CN" w:bidi="ar"/>
              </w:rPr>
              <w:t>研究员</w:t>
            </w:r>
          </w:p>
        </w:tc>
        <w:tc>
          <w:tcPr>
            <w:tcW w:w="1063" w:type="pct"/>
            <w:tcBorders>
              <w:top w:val="single" w:color="000000" w:sz="2" w:space="0"/>
              <w:left w:val="single" w:color="auto" w:sz="4" w:space="0"/>
              <w:bottom w:val="single" w:color="auto" w:sz="4" w:space="0"/>
              <w:right w:val="single" w:color="auto" w:sz="4" w:space="0"/>
            </w:tcBorders>
            <w:vAlign w:val="center"/>
          </w:tcPr>
          <w:p w14:paraId="1129FF34">
            <w:pPr>
              <w:keepNext w:val="0"/>
              <w:keepLines w:val="0"/>
              <w:pageBreakBefore w:val="0"/>
              <w:widowControl w:val="0"/>
              <w:kinsoku/>
              <w:wordWrap/>
              <w:overflowPunct/>
              <w:topLinePunct w:val="0"/>
              <w:autoSpaceDE/>
              <w:autoSpaceDN/>
              <w:bidi w:val="0"/>
              <w:adjustRightInd/>
              <w:snapToGrid/>
              <w:ind w:left="0" w:firstLine="0" w:firstLineChars="0"/>
              <w:jc w:val="center"/>
              <w:textAlignment w:val="auto"/>
              <w:rPr>
                <w:rFonts w:hint="eastAsia" w:ascii="仿宋_GB2312" w:hAnsi="仿宋_GB2312" w:eastAsia="仿宋_GB2312" w:cs="仿宋_GB2312"/>
                <w:color w:val="auto"/>
                <w:sz w:val="24"/>
                <w:highlight w:val="none"/>
                <w:lang w:bidi="ar"/>
              </w:rPr>
            </w:pPr>
            <w:r>
              <w:rPr>
                <w:rFonts w:hint="eastAsia" w:ascii="仿宋_GB2312" w:hAnsi="仿宋_GB2312" w:eastAsia="仿宋_GB2312" w:cs="仿宋_GB2312"/>
                <w:color w:val="auto"/>
                <w:sz w:val="24"/>
                <w:highlight w:val="none"/>
                <w:lang w:val="en-US" w:eastAsia="zh-CN" w:bidi="ar"/>
              </w:rPr>
              <w:t>广西壮族自治区农业科学院</w:t>
            </w:r>
          </w:p>
        </w:tc>
        <w:tc>
          <w:tcPr>
            <w:tcW w:w="1919" w:type="pct"/>
            <w:tcBorders>
              <w:top w:val="single" w:color="auto" w:sz="4" w:space="0"/>
              <w:left w:val="single" w:color="auto" w:sz="4" w:space="0"/>
              <w:bottom w:val="single" w:color="auto" w:sz="4" w:space="0"/>
              <w:right w:val="single" w:color="auto" w:sz="4" w:space="0"/>
            </w:tcBorders>
            <w:vAlign w:val="center"/>
          </w:tcPr>
          <w:p w14:paraId="13303680">
            <w:pPr>
              <w:keepNext w:val="0"/>
              <w:keepLines w:val="0"/>
              <w:pageBreakBefore w:val="0"/>
              <w:widowControl w:val="0"/>
              <w:kinsoku/>
              <w:wordWrap/>
              <w:overflowPunct/>
              <w:topLinePunct w:val="0"/>
              <w:autoSpaceDE/>
              <w:autoSpaceDN/>
              <w:bidi w:val="0"/>
              <w:adjustRightInd/>
              <w:snapToGrid/>
              <w:ind w:left="0" w:firstLine="0" w:firstLineChars="0"/>
              <w:jc w:val="center"/>
              <w:textAlignment w:val="auto"/>
              <w:rPr>
                <w:rFonts w:ascii="仿宋_GB2312" w:hAnsi="仿宋_GB2312" w:eastAsia="仿宋_GB2312" w:cs="仿宋_GB2312"/>
                <w:color w:val="auto"/>
                <w:sz w:val="24"/>
                <w:highlight w:val="none"/>
                <w:lang w:bidi="ar"/>
              </w:rPr>
            </w:pPr>
            <w:r>
              <w:rPr>
                <w:rFonts w:hint="eastAsia" w:ascii="仿宋_GB2312" w:hAnsi="仿宋_GB2312" w:eastAsia="仿宋_GB2312" w:cs="仿宋_GB2312"/>
                <w:color w:val="auto"/>
                <w:sz w:val="24"/>
                <w:highlight w:val="none"/>
                <w:lang w:bidi="ar"/>
              </w:rPr>
              <w:t>统筹主持标准编制工作</w:t>
            </w:r>
          </w:p>
        </w:tc>
      </w:tr>
      <w:tr w14:paraId="795455FB">
        <w:tblPrEx>
          <w:tblCellMar>
            <w:top w:w="0" w:type="dxa"/>
            <w:left w:w="108" w:type="dxa"/>
            <w:bottom w:w="0" w:type="dxa"/>
            <w:right w:w="108" w:type="dxa"/>
          </w:tblCellMar>
        </w:tblPrEx>
        <w:trPr>
          <w:cantSplit/>
          <w:trHeight w:val="517" w:hRule="atLeast"/>
        </w:trPr>
        <w:tc>
          <w:tcPr>
            <w:tcW w:w="586" w:type="pct"/>
            <w:tcBorders>
              <w:top w:val="single" w:color="auto" w:sz="4" w:space="0"/>
              <w:left w:val="single" w:color="auto" w:sz="4" w:space="0"/>
              <w:bottom w:val="single" w:color="auto" w:sz="4" w:space="0"/>
              <w:right w:val="single" w:color="008000" w:sz="4" w:space="0"/>
            </w:tcBorders>
            <w:vAlign w:val="center"/>
          </w:tcPr>
          <w:p w14:paraId="23F3CAD9">
            <w:pPr>
              <w:keepNext w:val="0"/>
              <w:keepLines w:val="0"/>
              <w:pageBreakBefore w:val="0"/>
              <w:widowControl w:val="0"/>
              <w:kinsoku/>
              <w:wordWrap/>
              <w:overflowPunct/>
              <w:topLinePunct w:val="0"/>
              <w:autoSpaceDE/>
              <w:autoSpaceDN/>
              <w:bidi w:val="0"/>
              <w:adjustRightInd/>
              <w:snapToGrid/>
              <w:ind w:left="0" w:firstLine="0" w:firstLineChars="0"/>
              <w:jc w:val="center"/>
              <w:textAlignment w:val="auto"/>
              <w:rPr>
                <w:rFonts w:hint="eastAsia" w:ascii="仿宋_GB2312" w:hAnsi="仿宋_GB2312" w:eastAsia="仿宋_GB2312" w:cs="仿宋_GB2312"/>
                <w:color w:val="auto"/>
                <w:sz w:val="24"/>
                <w:highlight w:val="none"/>
                <w:lang w:bidi="ar"/>
              </w:rPr>
            </w:pPr>
            <w:r>
              <w:rPr>
                <w:rFonts w:hint="eastAsia" w:ascii="仿宋_GB2312" w:hAnsi="仿宋_GB2312" w:eastAsia="仿宋_GB2312" w:cs="仿宋_GB2312"/>
                <w:color w:val="auto"/>
                <w:sz w:val="24"/>
                <w:highlight w:val="none"/>
                <w:lang w:val="en-US" w:eastAsia="zh-CN" w:bidi="ar"/>
              </w:rPr>
              <w:t>刘晓燕</w:t>
            </w:r>
          </w:p>
        </w:tc>
        <w:tc>
          <w:tcPr>
            <w:tcW w:w="693" w:type="pct"/>
            <w:tcBorders>
              <w:top w:val="single" w:color="auto" w:sz="4" w:space="0"/>
              <w:left w:val="single" w:color="auto" w:sz="4" w:space="0"/>
              <w:bottom w:val="single" w:color="auto" w:sz="4" w:space="0"/>
              <w:right w:val="single" w:color="auto" w:sz="4" w:space="0"/>
            </w:tcBorders>
            <w:vAlign w:val="center"/>
          </w:tcPr>
          <w:p w14:paraId="5AB9AB9D">
            <w:pPr>
              <w:keepNext w:val="0"/>
              <w:keepLines w:val="0"/>
              <w:pageBreakBefore w:val="0"/>
              <w:widowControl w:val="0"/>
              <w:kinsoku/>
              <w:wordWrap/>
              <w:overflowPunct/>
              <w:topLinePunct w:val="0"/>
              <w:autoSpaceDE/>
              <w:autoSpaceDN/>
              <w:bidi w:val="0"/>
              <w:adjustRightInd/>
              <w:snapToGrid/>
              <w:ind w:left="0" w:firstLine="0" w:firstLineChars="0"/>
              <w:jc w:val="center"/>
              <w:textAlignment w:val="auto"/>
              <w:rPr>
                <w:rFonts w:hint="eastAsia" w:ascii="仿宋_GB2312" w:hAnsi="仿宋_GB2312" w:eastAsia="仿宋_GB2312" w:cs="仿宋_GB2312"/>
                <w:color w:val="auto"/>
                <w:sz w:val="24"/>
                <w:highlight w:val="none"/>
                <w:lang w:bidi="ar"/>
              </w:rPr>
            </w:pPr>
            <w:r>
              <w:rPr>
                <w:rFonts w:hint="eastAsia" w:ascii="仿宋_GB2312" w:hAnsi="仿宋_GB2312" w:eastAsia="仿宋_GB2312" w:cs="仿宋_GB2312"/>
                <w:color w:val="auto"/>
                <w:sz w:val="24"/>
                <w:highlight w:val="none"/>
                <w:lang w:val="en-US" w:eastAsia="zh-CN" w:bidi="ar"/>
              </w:rPr>
              <w:t>甘蔗栽培</w:t>
            </w:r>
          </w:p>
        </w:tc>
        <w:tc>
          <w:tcPr>
            <w:tcW w:w="737" w:type="pct"/>
            <w:tcBorders>
              <w:top w:val="single" w:color="auto" w:sz="4" w:space="0"/>
              <w:left w:val="single" w:color="auto" w:sz="4" w:space="0"/>
              <w:bottom w:val="single" w:color="auto" w:sz="4" w:space="0"/>
              <w:right w:val="single" w:color="auto" w:sz="4" w:space="0"/>
            </w:tcBorders>
            <w:vAlign w:val="center"/>
          </w:tcPr>
          <w:p w14:paraId="1D7FF546">
            <w:pPr>
              <w:keepNext w:val="0"/>
              <w:keepLines w:val="0"/>
              <w:pageBreakBefore w:val="0"/>
              <w:widowControl w:val="0"/>
              <w:kinsoku/>
              <w:wordWrap/>
              <w:overflowPunct/>
              <w:topLinePunct w:val="0"/>
              <w:autoSpaceDE/>
              <w:autoSpaceDN/>
              <w:bidi w:val="0"/>
              <w:adjustRightInd/>
              <w:snapToGrid/>
              <w:ind w:left="0" w:firstLine="0" w:firstLineChars="0"/>
              <w:jc w:val="center"/>
              <w:textAlignment w:val="auto"/>
              <w:rPr>
                <w:rFonts w:hint="eastAsia" w:ascii="仿宋_GB2312" w:hAnsi="仿宋_GB2312" w:eastAsia="仿宋_GB2312" w:cs="仿宋_GB2312"/>
                <w:color w:val="auto"/>
                <w:sz w:val="24"/>
                <w:highlight w:val="none"/>
                <w:lang w:bidi="ar"/>
              </w:rPr>
            </w:pPr>
            <w:r>
              <w:rPr>
                <w:rFonts w:hint="eastAsia" w:ascii="仿宋_GB2312" w:hAnsi="仿宋_GB2312" w:eastAsia="仿宋_GB2312" w:cs="仿宋_GB2312"/>
                <w:color w:val="auto"/>
                <w:sz w:val="24"/>
                <w:highlight w:val="none"/>
                <w:lang w:val="en-US" w:eastAsia="zh-CN" w:bidi="ar"/>
              </w:rPr>
              <w:t>副研究员</w:t>
            </w:r>
          </w:p>
        </w:tc>
        <w:tc>
          <w:tcPr>
            <w:tcW w:w="1063" w:type="pct"/>
            <w:tcBorders>
              <w:top w:val="single" w:color="000000" w:sz="2" w:space="0"/>
              <w:left w:val="single" w:color="auto" w:sz="4" w:space="0"/>
              <w:bottom w:val="single" w:color="auto" w:sz="4" w:space="0"/>
              <w:right w:val="single" w:color="auto" w:sz="4" w:space="0"/>
            </w:tcBorders>
            <w:shd w:val="clear" w:color="auto" w:fill="auto"/>
            <w:vAlign w:val="center"/>
          </w:tcPr>
          <w:p w14:paraId="1FF99C80">
            <w:pPr>
              <w:keepNext w:val="0"/>
              <w:keepLines w:val="0"/>
              <w:pageBreakBefore w:val="0"/>
              <w:widowControl w:val="0"/>
              <w:kinsoku/>
              <w:wordWrap/>
              <w:overflowPunct/>
              <w:topLinePunct w:val="0"/>
              <w:autoSpaceDE/>
              <w:autoSpaceDN/>
              <w:bidi w:val="0"/>
              <w:adjustRightInd/>
              <w:snapToGrid/>
              <w:ind w:left="0" w:firstLine="0" w:firstLineChars="0"/>
              <w:jc w:val="center"/>
              <w:textAlignment w:val="auto"/>
              <w:rPr>
                <w:rFonts w:hint="eastAsia" w:ascii="仿宋_GB2312" w:hAnsi="仿宋_GB2312" w:eastAsia="仿宋_GB2312" w:cs="仿宋_GB2312"/>
                <w:color w:val="auto"/>
                <w:sz w:val="24"/>
                <w:highlight w:val="none"/>
                <w:lang w:val="en-US" w:eastAsia="zh-CN" w:bidi="ar"/>
              </w:rPr>
            </w:pPr>
            <w:r>
              <w:rPr>
                <w:rFonts w:hint="eastAsia" w:ascii="仿宋_GB2312" w:hAnsi="仿宋_GB2312" w:eastAsia="仿宋_GB2312" w:cs="仿宋_GB2312"/>
                <w:color w:val="auto"/>
                <w:sz w:val="24"/>
                <w:highlight w:val="none"/>
                <w:lang w:val="en-US" w:eastAsia="zh-CN" w:bidi="ar"/>
              </w:rPr>
              <w:t>广西壮族自治区农业科学院</w:t>
            </w:r>
          </w:p>
        </w:tc>
        <w:tc>
          <w:tcPr>
            <w:tcW w:w="1919" w:type="pct"/>
            <w:tcBorders>
              <w:top w:val="single" w:color="auto" w:sz="4" w:space="0"/>
              <w:left w:val="single" w:color="auto" w:sz="4" w:space="0"/>
              <w:bottom w:val="single" w:color="auto" w:sz="4" w:space="0"/>
              <w:right w:val="single" w:color="auto" w:sz="4" w:space="0"/>
            </w:tcBorders>
            <w:vAlign w:val="center"/>
          </w:tcPr>
          <w:p w14:paraId="45F594A5">
            <w:pPr>
              <w:keepNext w:val="0"/>
              <w:keepLines w:val="0"/>
              <w:pageBreakBefore w:val="0"/>
              <w:widowControl w:val="0"/>
              <w:kinsoku/>
              <w:wordWrap/>
              <w:overflowPunct/>
              <w:topLinePunct w:val="0"/>
              <w:autoSpaceDE/>
              <w:autoSpaceDN/>
              <w:bidi w:val="0"/>
              <w:adjustRightInd/>
              <w:snapToGrid/>
              <w:ind w:left="0" w:firstLine="0" w:firstLineChars="0"/>
              <w:jc w:val="center"/>
              <w:textAlignment w:val="auto"/>
              <w:rPr>
                <w:rFonts w:ascii="仿宋_GB2312" w:hAnsi="仿宋_GB2312" w:eastAsia="仿宋_GB2312" w:cs="仿宋_GB2312"/>
                <w:color w:val="auto"/>
                <w:sz w:val="24"/>
                <w:highlight w:val="none"/>
                <w:lang w:bidi="ar"/>
              </w:rPr>
            </w:pPr>
            <w:r>
              <w:rPr>
                <w:rFonts w:hint="eastAsia" w:ascii="仿宋_GB2312" w:hAnsi="仿宋_GB2312" w:eastAsia="仿宋_GB2312" w:cs="仿宋_GB2312"/>
                <w:color w:val="auto"/>
                <w:sz w:val="24"/>
                <w:highlight w:val="none"/>
                <w:lang w:bidi="ar"/>
              </w:rPr>
              <w:t>参与标准编制工作，组织人员进行标准发布后的宣贯培训。</w:t>
            </w:r>
          </w:p>
        </w:tc>
      </w:tr>
      <w:tr w14:paraId="4FE0338D">
        <w:tblPrEx>
          <w:tblCellMar>
            <w:top w:w="0" w:type="dxa"/>
            <w:left w:w="108" w:type="dxa"/>
            <w:bottom w:w="0" w:type="dxa"/>
            <w:right w:w="108" w:type="dxa"/>
          </w:tblCellMar>
        </w:tblPrEx>
        <w:trPr>
          <w:cantSplit/>
          <w:trHeight w:val="517" w:hRule="atLeast"/>
        </w:trPr>
        <w:tc>
          <w:tcPr>
            <w:tcW w:w="586" w:type="pct"/>
            <w:tcBorders>
              <w:top w:val="single" w:color="auto" w:sz="4" w:space="0"/>
              <w:left w:val="single" w:color="auto" w:sz="4" w:space="0"/>
              <w:bottom w:val="single" w:color="auto" w:sz="4" w:space="0"/>
              <w:right w:val="single" w:color="008000" w:sz="4" w:space="0"/>
            </w:tcBorders>
            <w:vAlign w:val="center"/>
          </w:tcPr>
          <w:p w14:paraId="3373686F">
            <w:pPr>
              <w:keepNext w:val="0"/>
              <w:keepLines w:val="0"/>
              <w:pageBreakBefore w:val="0"/>
              <w:widowControl w:val="0"/>
              <w:kinsoku/>
              <w:wordWrap/>
              <w:overflowPunct/>
              <w:topLinePunct w:val="0"/>
              <w:autoSpaceDE/>
              <w:autoSpaceDN/>
              <w:bidi w:val="0"/>
              <w:adjustRightInd/>
              <w:snapToGrid/>
              <w:ind w:left="0" w:firstLine="0" w:firstLineChars="0"/>
              <w:jc w:val="center"/>
              <w:textAlignment w:val="auto"/>
              <w:rPr>
                <w:rFonts w:hint="eastAsia" w:ascii="仿宋_GB2312" w:hAnsi="仿宋_GB2312" w:eastAsia="仿宋_GB2312" w:cs="仿宋_GB2312"/>
                <w:color w:val="auto"/>
                <w:sz w:val="24"/>
                <w:highlight w:val="none"/>
                <w:lang w:bidi="ar"/>
              </w:rPr>
            </w:pPr>
            <w:r>
              <w:rPr>
                <w:rFonts w:hint="eastAsia" w:ascii="仿宋_GB2312" w:hAnsi="仿宋_GB2312" w:eastAsia="仿宋_GB2312" w:cs="仿宋_GB2312"/>
                <w:color w:val="auto"/>
                <w:sz w:val="24"/>
                <w:highlight w:val="none"/>
                <w:lang w:val="en-US" w:eastAsia="zh-CN" w:bidi="ar"/>
              </w:rPr>
              <w:t>李毅杰</w:t>
            </w:r>
          </w:p>
        </w:tc>
        <w:tc>
          <w:tcPr>
            <w:tcW w:w="693" w:type="pct"/>
            <w:tcBorders>
              <w:top w:val="single" w:color="auto" w:sz="4" w:space="0"/>
              <w:left w:val="single" w:color="auto" w:sz="4" w:space="0"/>
              <w:bottom w:val="single" w:color="auto" w:sz="4" w:space="0"/>
              <w:right w:val="single" w:color="auto" w:sz="4" w:space="0"/>
            </w:tcBorders>
            <w:vAlign w:val="center"/>
          </w:tcPr>
          <w:p w14:paraId="6D7A33AD">
            <w:pPr>
              <w:keepNext w:val="0"/>
              <w:keepLines w:val="0"/>
              <w:pageBreakBefore w:val="0"/>
              <w:widowControl w:val="0"/>
              <w:kinsoku/>
              <w:wordWrap/>
              <w:overflowPunct/>
              <w:topLinePunct w:val="0"/>
              <w:autoSpaceDE/>
              <w:autoSpaceDN/>
              <w:bidi w:val="0"/>
              <w:adjustRightInd/>
              <w:snapToGrid/>
              <w:ind w:left="0" w:firstLine="0" w:firstLineChars="0"/>
              <w:jc w:val="center"/>
              <w:textAlignment w:val="auto"/>
              <w:rPr>
                <w:rFonts w:hint="eastAsia" w:ascii="仿宋_GB2312" w:hAnsi="仿宋_GB2312" w:eastAsia="仿宋_GB2312" w:cs="仿宋_GB2312"/>
                <w:color w:val="auto"/>
                <w:sz w:val="24"/>
                <w:highlight w:val="none"/>
                <w:lang w:bidi="ar"/>
              </w:rPr>
            </w:pPr>
            <w:r>
              <w:rPr>
                <w:rFonts w:hint="eastAsia" w:ascii="仿宋_GB2312" w:hAnsi="仿宋_GB2312" w:eastAsia="仿宋_GB2312" w:cs="仿宋_GB2312"/>
                <w:color w:val="auto"/>
                <w:sz w:val="24"/>
                <w:highlight w:val="none"/>
                <w:lang w:val="en-US" w:eastAsia="zh-CN" w:bidi="ar"/>
              </w:rPr>
              <w:t>甘蔗栽培</w:t>
            </w:r>
          </w:p>
        </w:tc>
        <w:tc>
          <w:tcPr>
            <w:tcW w:w="737" w:type="pct"/>
            <w:tcBorders>
              <w:top w:val="single" w:color="auto" w:sz="4" w:space="0"/>
              <w:left w:val="single" w:color="auto" w:sz="4" w:space="0"/>
              <w:bottom w:val="single" w:color="auto" w:sz="4" w:space="0"/>
              <w:right w:val="single" w:color="auto" w:sz="4" w:space="0"/>
            </w:tcBorders>
            <w:vAlign w:val="center"/>
          </w:tcPr>
          <w:p w14:paraId="47E4B926">
            <w:pPr>
              <w:keepNext w:val="0"/>
              <w:keepLines w:val="0"/>
              <w:pageBreakBefore w:val="0"/>
              <w:widowControl w:val="0"/>
              <w:kinsoku/>
              <w:wordWrap/>
              <w:overflowPunct/>
              <w:topLinePunct w:val="0"/>
              <w:autoSpaceDE/>
              <w:autoSpaceDN/>
              <w:bidi w:val="0"/>
              <w:adjustRightInd/>
              <w:snapToGrid/>
              <w:ind w:left="0" w:firstLine="0" w:firstLineChars="0"/>
              <w:jc w:val="center"/>
              <w:textAlignment w:val="auto"/>
              <w:rPr>
                <w:rFonts w:hint="eastAsia" w:ascii="仿宋_GB2312" w:hAnsi="仿宋_GB2312" w:eastAsia="仿宋_GB2312" w:cs="仿宋_GB2312"/>
                <w:color w:val="auto"/>
                <w:sz w:val="24"/>
                <w:highlight w:val="none"/>
                <w:lang w:bidi="ar"/>
              </w:rPr>
            </w:pPr>
            <w:r>
              <w:rPr>
                <w:rFonts w:hint="eastAsia" w:ascii="仿宋_GB2312" w:hAnsi="仿宋_GB2312" w:eastAsia="仿宋_GB2312" w:cs="仿宋_GB2312"/>
                <w:color w:val="auto"/>
                <w:sz w:val="24"/>
                <w:highlight w:val="none"/>
                <w:lang w:val="en-US" w:eastAsia="zh-CN" w:bidi="ar"/>
              </w:rPr>
              <w:t>副研究员</w:t>
            </w:r>
          </w:p>
        </w:tc>
        <w:tc>
          <w:tcPr>
            <w:tcW w:w="1063" w:type="pct"/>
            <w:tcBorders>
              <w:top w:val="single" w:color="000000" w:sz="2" w:space="0"/>
              <w:left w:val="single" w:color="auto" w:sz="4" w:space="0"/>
              <w:bottom w:val="single" w:color="auto" w:sz="4" w:space="0"/>
              <w:right w:val="single" w:color="auto" w:sz="4" w:space="0"/>
            </w:tcBorders>
            <w:shd w:val="clear" w:color="auto" w:fill="auto"/>
            <w:vAlign w:val="center"/>
          </w:tcPr>
          <w:p w14:paraId="041D6D63">
            <w:pPr>
              <w:keepNext w:val="0"/>
              <w:keepLines w:val="0"/>
              <w:pageBreakBefore w:val="0"/>
              <w:widowControl w:val="0"/>
              <w:kinsoku/>
              <w:wordWrap/>
              <w:overflowPunct/>
              <w:topLinePunct w:val="0"/>
              <w:autoSpaceDE/>
              <w:autoSpaceDN/>
              <w:bidi w:val="0"/>
              <w:adjustRightInd/>
              <w:snapToGrid/>
              <w:ind w:left="0" w:firstLine="0" w:firstLineChars="0"/>
              <w:jc w:val="center"/>
              <w:textAlignment w:val="auto"/>
              <w:rPr>
                <w:rFonts w:hint="eastAsia" w:ascii="仿宋_GB2312" w:hAnsi="仿宋_GB2312" w:eastAsia="仿宋_GB2312" w:cs="仿宋_GB2312"/>
                <w:color w:val="auto"/>
                <w:sz w:val="24"/>
                <w:highlight w:val="none"/>
                <w:lang w:val="en-US" w:eastAsia="zh-CN" w:bidi="ar"/>
              </w:rPr>
            </w:pPr>
            <w:r>
              <w:rPr>
                <w:rFonts w:hint="eastAsia" w:ascii="仿宋_GB2312" w:hAnsi="仿宋_GB2312" w:eastAsia="仿宋_GB2312" w:cs="仿宋_GB2312"/>
                <w:color w:val="auto"/>
                <w:sz w:val="24"/>
                <w:highlight w:val="none"/>
                <w:lang w:val="en-US" w:eastAsia="zh-CN" w:bidi="ar"/>
              </w:rPr>
              <w:t>广西壮族自治区农业科学院</w:t>
            </w:r>
          </w:p>
        </w:tc>
        <w:tc>
          <w:tcPr>
            <w:tcW w:w="1919" w:type="pct"/>
            <w:tcBorders>
              <w:top w:val="single" w:color="auto" w:sz="4" w:space="0"/>
              <w:left w:val="single" w:color="auto" w:sz="4" w:space="0"/>
              <w:bottom w:val="single" w:color="auto" w:sz="4" w:space="0"/>
              <w:right w:val="single" w:color="auto" w:sz="4" w:space="0"/>
            </w:tcBorders>
            <w:vAlign w:val="center"/>
          </w:tcPr>
          <w:p w14:paraId="77FA140D">
            <w:pPr>
              <w:keepNext w:val="0"/>
              <w:keepLines w:val="0"/>
              <w:pageBreakBefore w:val="0"/>
              <w:widowControl w:val="0"/>
              <w:kinsoku/>
              <w:wordWrap/>
              <w:overflowPunct/>
              <w:topLinePunct w:val="0"/>
              <w:autoSpaceDE/>
              <w:autoSpaceDN/>
              <w:bidi w:val="0"/>
              <w:adjustRightInd/>
              <w:snapToGrid/>
              <w:ind w:left="0" w:firstLine="0" w:firstLineChars="0"/>
              <w:jc w:val="center"/>
              <w:textAlignment w:val="auto"/>
              <w:rPr>
                <w:rFonts w:ascii="仿宋_GB2312" w:hAnsi="仿宋_GB2312" w:eastAsia="仿宋_GB2312" w:cs="仿宋_GB2312"/>
                <w:color w:val="auto"/>
                <w:sz w:val="24"/>
                <w:highlight w:val="none"/>
                <w:lang w:bidi="ar"/>
              </w:rPr>
            </w:pPr>
            <w:r>
              <w:rPr>
                <w:rFonts w:hint="eastAsia" w:ascii="仿宋_GB2312" w:hAnsi="仿宋_GB2312" w:eastAsia="仿宋_GB2312" w:cs="仿宋_GB2312"/>
                <w:color w:val="auto"/>
                <w:sz w:val="24"/>
                <w:highlight w:val="none"/>
                <w:lang w:bidi="ar"/>
              </w:rPr>
              <w:t>参与标准文本及编制说明编写，质量控制。</w:t>
            </w:r>
          </w:p>
        </w:tc>
      </w:tr>
      <w:tr w14:paraId="4DA2C65D">
        <w:tblPrEx>
          <w:tblCellMar>
            <w:top w:w="0" w:type="dxa"/>
            <w:left w:w="108" w:type="dxa"/>
            <w:bottom w:w="0" w:type="dxa"/>
            <w:right w:w="108" w:type="dxa"/>
          </w:tblCellMar>
        </w:tblPrEx>
        <w:trPr>
          <w:cantSplit/>
          <w:trHeight w:val="517" w:hRule="atLeast"/>
        </w:trPr>
        <w:tc>
          <w:tcPr>
            <w:tcW w:w="586" w:type="pct"/>
            <w:tcBorders>
              <w:top w:val="single" w:color="auto" w:sz="4" w:space="0"/>
              <w:left w:val="single" w:color="auto" w:sz="4" w:space="0"/>
              <w:bottom w:val="single" w:color="auto" w:sz="4" w:space="0"/>
              <w:right w:val="single" w:color="008000" w:sz="4" w:space="0"/>
            </w:tcBorders>
            <w:vAlign w:val="center"/>
          </w:tcPr>
          <w:p w14:paraId="672699BD">
            <w:pPr>
              <w:keepNext w:val="0"/>
              <w:keepLines w:val="0"/>
              <w:pageBreakBefore w:val="0"/>
              <w:widowControl w:val="0"/>
              <w:kinsoku/>
              <w:wordWrap/>
              <w:overflowPunct/>
              <w:topLinePunct w:val="0"/>
              <w:autoSpaceDE/>
              <w:autoSpaceDN/>
              <w:bidi w:val="0"/>
              <w:adjustRightInd/>
              <w:snapToGrid/>
              <w:ind w:left="0" w:firstLine="0" w:firstLineChars="0"/>
              <w:jc w:val="center"/>
              <w:textAlignment w:val="auto"/>
              <w:rPr>
                <w:rFonts w:hint="eastAsia" w:ascii="仿宋_GB2312" w:hAnsi="仿宋_GB2312" w:eastAsia="仿宋_GB2312" w:cs="仿宋_GB2312"/>
                <w:color w:val="auto"/>
                <w:sz w:val="24"/>
                <w:highlight w:val="none"/>
                <w:lang w:bidi="ar"/>
              </w:rPr>
            </w:pPr>
            <w:r>
              <w:rPr>
                <w:rFonts w:hint="eastAsia" w:ascii="仿宋_GB2312" w:hAnsi="仿宋_GB2312" w:eastAsia="仿宋_GB2312" w:cs="仿宋_GB2312"/>
                <w:color w:val="auto"/>
                <w:sz w:val="24"/>
                <w:highlight w:val="none"/>
                <w:lang w:val="en-US" w:eastAsia="zh-CN" w:bidi="ar"/>
              </w:rPr>
              <w:t>陆光艺</w:t>
            </w:r>
          </w:p>
        </w:tc>
        <w:tc>
          <w:tcPr>
            <w:tcW w:w="693" w:type="pct"/>
            <w:tcBorders>
              <w:top w:val="single" w:color="auto" w:sz="4" w:space="0"/>
              <w:left w:val="single" w:color="auto" w:sz="4" w:space="0"/>
              <w:bottom w:val="single" w:color="auto" w:sz="4" w:space="0"/>
              <w:right w:val="single" w:color="auto" w:sz="4" w:space="0"/>
            </w:tcBorders>
            <w:shd w:val="clear" w:color="auto" w:fill="auto"/>
            <w:vAlign w:val="center"/>
          </w:tcPr>
          <w:p w14:paraId="4EE4C89E">
            <w:pPr>
              <w:keepNext w:val="0"/>
              <w:keepLines w:val="0"/>
              <w:pageBreakBefore w:val="0"/>
              <w:widowControl w:val="0"/>
              <w:kinsoku/>
              <w:wordWrap/>
              <w:overflowPunct/>
              <w:topLinePunct w:val="0"/>
              <w:autoSpaceDE/>
              <w:autoSpaceDN/>
              <w:bidi w:val="0"/>
              <w:adjustRightInd/>
              <w:snapToGrid/>
              <w:ind w:left="0" w:firstLine="0" w:firstLineChars="0"/>
              <w:jc w:val="center"/>
              <w:textAlignment w:val="auto"/>
              <w:rPr>
                <w:rFonts w:hint="eastAsia" w:ascii="仿宋_GB2312" w:hAnsi="仿宋_GB2312" w:eastAsia="仿宋_GB2312" w:cs="仿宋_GB2312"/>
                <w:color w:val="auto"/>
                <w:sz w:val="24"/>
                <w:highlight w:val="none"/>
                <w:lang w:val="en-US" w:eastAsia="zh-CN" w:bidi="ar"/>
              </w:rPr>
            </w:pPr>
            <w:r>
              <w:rPr>
                <w:rFonts w:hint="eastAsia" w:ascii="仿宋_GB2312" w:hAnsi="仿宋_GB2312" w:eastAsia="仿宋_GB2312" w:cs="仿宋_GB2312"/>
                <w:color w:val="auto"/>
                <w:sz w:val="24"/>
                <w:highlight w:val="none"/>
                <w:lang w:val="en-US" w:eastAsia="zh-CN" w:bidi="ar"/>
              </w:rPr>
              <w:t>甘蔗生产</w:t>
            </w:r>
          </w:p>
        </w:tc>
        <w:tc>
          <w:tcPr>
            <w:tcW w:w="737" w:type="pct"/>
            <w:tcBorders>
              <w:top w:val="single" w:color="auto" w:sz="4" w:space="0"/>
              <w:left w:val="single" w:color="auto" w:sz="4" w:space="0"/>
              <w:bottom w:val="single" w:color="auto" w:sz="4" w:space="0"/>
              <w:right w:val="single" w:color="auto" w:sz="4" w:space="0"/>
            </w:tcBorders>
            <w:shd w:val="clear" w:color="auto" w:fill="auto"/>
            <w:vAlign w:val="center"/>
          </w:tcPr>
          <w:p w14:paraId="351051A7">
            <w:pPr>
              <w:keepNext w:val="0"/>
              <w:keepLines w:val="0"/>
              <w:pageBreakBefore w:val="0"/>
              <w:widowControl w:val="0"/>
              <w:kinsoku/>
              <w:wordWrap/>
              <w:overflowPunct/>
              <w:topLinePunct w:val="0"/>
              <w:autoSpaceDE/>
              <w:autoSpaceDN/>
              <w:bidi w:val="0"/>
              <w:adjustRightInd/>
              <w:snapToGrid/>
              <w:ind w:left="0" w:firstLine="0" w:firstLineChars="0"/>
              <w:jc w:val="center"/>
              <w:textAlignment w:val="auto"/>
              <w:rPr>
                <w:rFonts w:hint="eastAsia" w:ascii="仿宋_GB2312" w:hAnsi="仿宋_GB2312" w:eastAsia="仿宋_GB2312" w:cs="仿宋_GB2312"/>
                <w:color w:val="auto"/>
                <w:sz w:val="24"/>
                <w:highlight w:val="none"/>
                <w:lang w:val="en-US" w:eastAsia="zh-CN" w:bidi="ar"/>
              </w:rPr>
            </w:pPr>
            <w:r>
              <w:rPr>
                <w:rFonts w:hint="eastAsia" w:ascii="仿宋_GB2312" w:hAnsi="仿宋_GB2312" w:eastAsia="仿宋_GB2312" w:cs="仿宋_GB2312"/>
                <w:color w:val="auto"/>
                <w:sz w:val="24"/>
                <w:highlight w:val="none"/>
                <w:lang w:val="en-US" w:eastAsia="zh-CN" w:bidi="ar"/>
              </w:rPr>
              <w:t>农艺师</w:t>
            </w:r>
          </w:p>
        </w:tc>
        <w:tc>
          <w:tcPr>
            <w:tcW w:w="1063" w:type="pct"/>
            <w:tcBorders>
              <w:top w:val="single" w:color="000000" w:sz="2" w:space="0"/>
              <w:left w:val="single" w:color="auto" w:sz="4" w:space="0"/>
              <w:bottom w:val="single" w:color="auto" w:sz="4" w:space="0"/>
              <w:right w:val="single" w:color="auto" w:sz="4" w:space="0"/>
            </w:tcBorders>
            <w:shd w:val="clear" w:color="auto" w:fill="auto"/>
            <w:vAlign w:val="center"/>
          </w:tcPr>
          <w:p w14:paraId="39F130E3">
            <w:pPr>
              <w:keepNext w:val="0"/>
              <w:keepLines w:val="0"/>
              <w:pageBreakBefore w:val="0"/>
              <w:widowControl w:val="0"/>
              <w:kinsoku/>
              <w:wordWrap/>
              <w:overflowPunct/>
              <w:topLinePunct w:val="0"/>
              <w:autoSpaceDE/>
              <w:autoSpaceDN/>
              <w:bidi w:val="0"/>
              <w:adjustRightInd/>
              <w:snapToGrid/>
              <w:ind w:left="0" w:firstLine="0" w:firstLineChars="0"/>
              <w:jc w:val="center"/>
              <w:textAlignment w:val="auto"/>
              <w:rPr>
                <w:rFonts w:hint="eastAsia" w:ascii="仿宋_GB2312" w:hAnsi="仿宋_GB2312" w:eastAsia="仿宋_GB2312" w:cs="仿宋_GB2312"/>
                <w:color w:val="auto"/>
                <w:sz w:val="24"/>
                <w:highlight w:val="none"/>
                <w:lang w:val="en-US" w:eastAsia="zh-CN" w:bidi="ar"/>
              </w:rPr>
            </w:pPr>
            <w:r>
              <w:rPr>
                <w:rFonts w:hint="eastAsia" w:ascii="仿宋_GB2312" w:hAnsi="仿宋_GB2312" w:eastAsia="仿宋_GB2312" w:cs="仿宋_GB2312"/>
                <w:color w:val="auto"/>
                <w:sz w:val="24"/>
                <w:highlight w:val="none"/>
                <w:lang w:val="en-US" w:eastAsia="zh-CN" w:bidi="ar"/>
              </w:rPr>
              <w:t>广西益兴现代农业科技发展有限公司</w:t>
            </w:r>
          </w:p>
        </w:tc>
        <w:tc>
          <w:tcPr>
            <w:tcW w:w="1919" w:type="pct"/>
            <w:tcBorders>
              <w:top w:val="single" w:color="auto" w:sz="4" w:space="0"/>
              <w:left w:val="single" w:color="auto" w:sz="4" w:space="0"/>
              <w:bottom w:val="single" w:color="auto" w:sz="4" w:space="0"/>
              <w:right w:val="single" w:color="auto" w:sz="4" w:space="0"/>
            </w:tcBorders>
            <w:vAlign w:val="center"/>
          </w:tcPr>
          <w:p w14:paraId="74ED45FC">
            <w:pPr>
              <w:keepNext w:val="0"/>
              <w:keepLines w:val="0"/>
              <w:pageBreakBefore w:val="0"/>
              <w:widowControl w:val="0"/>
              <w:kinsoku/>
              <w:wordWrap/>
              <w:overflowPunct/>
              <w:topLinePunct w:val="0"/>
              <w:autoSpaceDE/>
              <w:autoSpaceDN/>
              <w:bidi w:val="0"/>
              <w:adjustRightInd/>
              <w:snapToGrid/>
              <w:ind w:left="0" w:firstLine="0" w:firstLineChars="0"/>
              <w:jc w:val="center"/>
              <w:textAlignment w:val="auto"/>
              <w:rPr>
                <w:rFonts w:ascii="仿宋_GB2312" w:hAnsi="仿宋_GB2312" w:eastAsia="仿宋_GB2312" w:cs="仿宋_GB2312"/>
                <w:color w:val="auto"/>
                <w:sz w:val="24"/>
                <w:highlight w:val="none"/>
                <w:lang w:bidi="ar"/>
              </w:rPr>
            </w:pPr>
            <w:r>
              <w:rPr>
                <w:rFonts w:hint="eastAsia" w:ascii="仿宋_GB2312" w:hAnsi="仿宋_GB2312" w:eastAsia="仿宋_GB2312" w:cs="仿宋_GB2312"/>
                <w:color w:val="auto"/>
                <w:sz w:val="24"/>
                <w:highlight w:val="none"/>
                <w:lang w:bidi="ar"/>
              </w:rPr>
              <w:t>参与标准文本及编制说明的编写；组织开展标准征求意见会；对标准实施情况进行总结分析，不断对标准提出修正意见。</w:t>
            </w:r>
          </w:p>
        </w:tc>
      </w:tr>
      <w:tr w14:paraId="425367DE">
        <w:tblPrEx>
          <w:tblCellMar>
            <w:top w:w="0" w:type="dxa"/>
            <w:left w:w="108" w:type="dxa"/>
            <w:bottom w:w="0" w:type="dxa"/>
            <w:right w:w="108" w:type="dxa"/>
          </w:tblCellMar>
        </w:tblPrEx>
        <w:trPr>
          <w:cantSplit/>
          <w:trHeight w:val="517" w:hRule="atLeast"/>
        </w:trPr>
        <w:tc>
          <w:tcPr>
            <w:tcW w:w="586" w:type="pct"/>
            <w:tcBorders>
              <w:top w:val="single" w:color="auto" w:sz="4" w:space="0"/>
              <w:left w:val="single" w:color="auto" w:sz="4" w:space="0"/>
              <w:bottom w:val="single" w:color="auto" w:sz="4" w:space="0"/>
              <w:right w:val="single" w:color="008000" w:sz="4" w:space="0"/>
            </w:tcBorders>
            <w:vAlign w:val="center"/>
          </w:tcPr>
          <w:p w14:paraId="78A0B453">
            <w:pPr>
              <w:keepNext w:val="0"/>
              <w:keepLines w:val="0"/>
              <w:pageBreakBefore w:val="0"/>
              <w:widowControl w:val="0"/>
              <w:kinsoku/>
              <w:wordWrap/>
              <w:overflowPunct/>
              <w:topLinePunct w:val="0"/>
              <w:autoSpaceDE/>
              <w:autoSpaceDN/>
              <w:bidi w:val="0"/>
              <w:adjustRightInd/>
              <w:snapToGrid/>
              <w:ind w:left="0" w:firstLine="0" w:firstLineChars="0"/>
              <w:jc w:val="center"/>
              <w:textAlignment w:val="auto"/>
              <w:rPr>
                <w:rFonts w:hint="eastAsia" w:ascii="仿宋_GB2312" w:hAnsi="仿宋_GB2312" w:eastAsia="仿宋_GB2312" w:cs="仿宋_GB2312"/>
                <w:color w:val="auto"/>
                <w:sz w:val="24"/>
                <w:highlight w:val="none"/>
                <w:lang w:bidi="ar"/>
              </w:rPr>
            </w:pPr>
            <w:r>
              <w:rPr>
                <w:rFonts w:hint="eastAsia" w:ascii="仿宋_GB2312" w:hAnsi="仿宋_GB2312" w:eastAsia="仿宋_GB2312" w:cs="仿宋_GB2312"/>
                <w:color w:val="auto"/>
                <w:sz w:val="24"/>
                <w:highlight w:val="none"/>
                <w:lang w:val="en-US" w:eastAsia="zh-CN" w:bidi="ar"/>
              </w:rPr>
              <w:t>武启惠</w:t>
            </w:r>
          </w:p>
        </w:tc>
        <w:tc>
          <w:tcPr>
            <w:tcW w:w="693" w:type="pct"/>
            <w:tcBorders>
              <w:top w:val="single" w:color="auto" w:sz="4" w:space="0"/>
              <w:left w:val="single" w:color="auto" w:sz="4" w:space="0"/>
              <w:bottom w:val="single" w:color="auto" w:sz="4" w:space="0"/>
              <w:right w:val="single" w:color="auto" w:sz="4" w:space="0"/>
            </w:tcBorders>
            <w:shd w:val="clear" w:color="auto" w:fill="auto"/>
            <w:vAlign w:val="center"/>
          </w:tcPr>
          <w:p w14:paraId="4832CC7D">
            <w:pPr>
              <w:keepNext w:val="0"/>
              <w:keepLines w:val="0"/>
              <w:pageBreakBefore w:val="0"/>
              <w:widowControl w:val="0"/>
              <w:kinsoku/>
              <w:wordWrap/>
              <w:overflowPunct/>
              <w:topLinePunct w:val="0"/>
              <w:autoSpaceDE/>
              <w:autoSpaceDN/>
              <w:bidi w:val="0"/>
              <w:adjustRightInd/>
              <w:snapToGrid/>
              <w:ind w:left="0" w:firstLine="0" w:firstLineChars="0"/>
              <w:jc w:val="center"/>
              <w:textAlignment w:val="auto"/>
              <w:rPr>
                <w:rFonts w:hint="eastAsia" w:ascii="仿宋_GB2312" w:hAnsi="仿宋_GB2312" w:eastAsia="仿宋_GB2312" w:cs="仿宋_GB2312"/>
                <w:color w:val="auto"/>
                <w:sz w:val="24"/>
                <w:highlight w:val="none"/>
                <w:lang w:val="en-US" w:eastAsia="zh-CN" w:bidi="ar"/>
              </w:rPr>
            </w:pPr>
            <w:r>
              <w:rPr>
                <w:rFonts w:hint="eastAsia" w:ascii="仿宋_GB2312" w:hAnsi="仿宋_GB2312" w:eastAsia="仿宋_GB2312" w:cs="仿宋_GB2312"/>
                <w:color w:val="auto"/>
                <w:sz w:val="24"/>
                <w:highlight w:val="none"/>
                <w:lang w:val="en-US" w:eastAsia="zh-CN" w:bidi="ar"/>
              </w:rPr>
              <w:t>甘蔗生产</w:t>
            </w:r>
          </w:p>
        </w:tc>
        <w:tc>
          <w:tcPr>
            <w:tcW w:w="737" w:type="pct"/>
            <w:tcBorders>
              <w:top w:val="single" w:color="auto" w:sz="4" w:space="0"/>
              <w:left w:val="single" w:color="auto" w:sz="4" w:space="0"/>
              <w:bottom w:val="single" w:color="auto" w:sz="4" w:space="0"/>
              <w:right w:val="single" w:color="auto" w:sz="4" w:space="0"/>
            </w:tcBorders>
            <w:shd w:val="clear" w:color="auto" w:fill="auto"/>
            <w:vAlign w:val="center"/>
          </w:tcPr>
          <w:p w14:paraId="088C0A0F">
            <w:pPr>
              <w:keepNext w:val="0"/>
              <w:keepLines w:val="0"/>
              <w:pageBreakBefore w:val="0"/>
              <w:widowControl w:val="0"/>
              <w:kinsoku/>
              <w:wordWrap/>
              <w:overflowPunct/>
              <w:topLinePunct w:val="0"/>
              <w:autoSpaceDE/>
              <w:autoSpaceDN/>
              <w:bidi w:val="0"/>
              <w:adjustRightInd/>
              <w:snapToGrid/>
              <w:ind w:left="0" w:firstLine="0" w:firstLineChars="0"/>
              <w:jc w:val="center"/>
              <w:textAlignment w:val="auto"/>
              <w:rPr>
                <w:rFonts w:hint="eastAsia" w:ascii="仿宋_GB2312" w:hAnsi="仿宋_GB2312" w:eastAsia="仿宋_GB2312" w:cs="仿宋_GB2312"/>
                <w:color w:val="auto"/>
                <w:sz w:val="24"/>
                <w:highlight w:val="none"/>
                <w:lang w:val="en-US" w:eastAsia="zh-CN" w:bidi="ar"/>
              </w:rPr>
            </w:pPr>
            <w:r>
              <w:rPr>
                <w:rFonts w:hint="eastAsia" w:ascii="仿宋_GB2312" w:hAnsi="仿宋_GB2312" w:eastAsia="仿宋_GB2312" w:cs="仿宋_GB2312"/>
                <w:color w:val="auto"/>
                <w:sz w:val="24"/>
                <w:highlight w:val="none"/>
                <w:lang w:val="en-US" w:eastAsia="zh-CN" w:bidi="ar"/>
              </w:rPr>
              <w:t>理事长</w:t>
            </w:r>
          </w:p>
        </w:tc>
        <w:tc>
          <w:tcPr>
            <w:tcW w:w="1063" w:type="pct"/>
            <w:tcBorders>
              <w:top w:val="single" w:color="000000" w:sz="2" w:space="0"/>
              <w:left w:val="single" w:color="auto" w:sz="4" w:space="0"/>
              <w:bottom w:val="single" w:color="auto" w:sz="4" w:space="0"/>
              <w:right w:val="single" w:color="auto" w:sz="4" w:space="0"/>
            </w:tcBorders>
            <w:shd w:val="clear" w:color="auto" w:fill="auto"/>
            <w:vAlign w:val="center"/>
          </w:tcPr>
          <w:p w14:paraId="5FDBA675">
            <w:pPr>
              <w:keepNext w:val="0"/>
              <w:keepLines w:val="0"/>
              <w:pageBreakBefore w:val="0"/>
              <w:widowControl w:val="0"/>
              <w:kinsoku/>
              <w:wordWrap/>
              <w:overflowPunct/>
              <w:topLinePunct w:val="0"/>
              <w:autoSpaceDE/>
              <w:autoSpaceDN/>
              <w:bidi w:val="0"/>
              <w:adjustRightInd/>
              <w:snapToGrid/>
              <w:ind w:left="0" w:firstLine="0" w:firstLineChars="0"/>
              <w:jc w:val="center"/>
              <w:textAlignment w:val="auto"/>
              <w:rPr>
                <w:rFonts w:hint="eastAsia" w:ascii="仿宋_GB2312" w:hAnsi="仿宋_GB2312" w:eastAsia="仿宋_GB2312" w:cs="仿宋_GB2312"/>
                <w:color w:val="auto"/>
                <w:sz w:val="24"/>
                <w:highlight w:val="none"/>
                <w:lang w:val="en-US" w:eastAsia="zh-CN" w:bidi="ar"/>
              </w:rPr>
            </w:pPr>
            <w:r>
              <w:rPr>
                <w:rFonts w:hint="eastAsia" w:ascii="仿宋_GB2312" w:hAnsi="仿宋_GB2312" w:eastAsia="仿宋_GB2312" w:cs="仿宋_GB2312"/>
                <w:color w:val="auto"/>
                <w:sz w:val="24"/>
                <w:highlight w:val="none"/>
                <w:lang w:val="en-US" w:eastAsia="zh-CN" w:bidi="ar"/>
              </w:rPr>
              <w:t>广西武宣县博盛农机专业合作社</w:t>
            </w:r>
          </w:p>
        </w:tc>
        <w:tc>
          <w:tcPr>
            <w:tcW w:w="1919" w:type="pct"/>
            <w:tcBorders>
              <w:top w:val="single" w:color="auto" w:sz="4" w:space="0"/>
              <w:left w:val="single" w:color="auto" w:sz="4" w:space="0"/>
              <w:bottom w:val="single" w:color="auto" w:sz="4" w:space="0"/>
              <w:right w:val="single" w:color="auto" w:sz="4" w:space="0"/>
            </w:tcBorders>
            <w:vAlign w:val="center"/>
          </w:tcPr>
          <w:p w14:paraId="088DC88C">
            <w:pPr>
              <w:keepNext w:val="0"/>
              <w:keepLines w:val="0"/>
              <w:pageBreakBefore w:val="0"/>
              <w:widowControl w:val="0"/>
              <w:kinsoku/>
              <w:wordWrap/>
              <w:overflowPunct/>
              <w:topLinePunct w:val="0"/>
              <w:autoSpaceDE/>
              <w:autoSpaceDN/>
              <w:bidi w:val="0"/>
              <w:adjustRightInd/>
              <w:snapToGrid/>
              <w:ind w:left="0" w:firstLine="0" w:firstLineChars="0"/>
              <w:jc w:val="center"/>
              <w:textAlignment w:val="auto"/>
              <w:rPr>
                <w:rFonts w:hint="eastAsia" w:ascii="仿宋_GB2312" w:hAnsi="仿宋_GB2312" w:eastAsia="仿宋_GB2312" w:cs="仿宋_GB2312"/>
                <w:color w:val="auto"/>
                <w:sz w:val="24"/>
                <w:highlight w:val="none"/>
                <w:lang w:bidi="ar"/>
              </w:rPr>
            </w:pPr>
            <w:r>
              <w:rPr>
                <w:rFonts w:hint="eastAsia" w:ascii="仿宋_GB2312" w:hAnsi="仿宋_GB2312" w:eastAsia="仿宋_GB2312" w:cs="仿宋_GB2312"/>
                <w:color w:val="auto"/>
                <w:sz w:val="24"/>
                <w:highlight w:val="none"/>
                <w:lang w:bidi="ar"/>
              </w:rPr>
              <w:t>参与标准文本及编制说明的编写；组织开展标准征求意见会；对标准实施情况进行总结分析，不断对标准提出修正意见。</w:t>
            </w:r>
          </w:p>
        </w:tc>
      </w:tr>
      <w:tr w14:paraId="29D732CE">
        <w:tblPrEx>
          <w:tblCellMar>
            <w:top w:w="0" w:type="dxa"/>
            <w:left w:w="108" w:type="dxa"/>
            <w:bottom w:w="0" w:type="dxa"/>
            <w:right w:w="108" w:type="dxa"/>
          </w:tblCellMar>
        </w:tblPrEx>
        <w:trPr>
          <w:cantSplit/>
          <w:trHeight w:val="517" w:hRule="atLeast"/>
        </w:trPr>
        <w:tc>
          <w:tcPr>
            <w:tcW w:w="586" w:type="pct"/>
            <w:tcBorders>
              <w:top w:val="single" w:color="auto" w:sz="4" w:space="0"/>
              <w:left w:val="single" w:color="auto" w:sz="4" w:space="0"/>
              <w:bottom w:val="single" w:color="auto" w:sz="4" w:space="0"/>
              <w:right w:val="single" w:color="008000" w:sz="4" w:space="0"/>
            </w:tcBorders>
            <w:vAlign w:val="center"/>
          </w:tcPr>
          <w:p w14:paraId="14C494A8">
            <w:pPr>
              <w:keepNext w:val="0"/>
              <w:keepLines w:val="0"/>
              <w:pageBreakBefore w:val="0"/>
              <w:widowControl w:val="0"/>
              <w:kinsoku/>
              <w:wordWrap/>
              <w:overflowPunct/>
              <w:topLinePunct w:val="0"/>
              <w:autoSpaceDE/>
              <w:autoSpaceDN/>
              <w:bidi w:val="0"/>
              <w:adjustRightInd/>
              <w:snapToGrid/>
              <w:ind w:left="0" w:firstLine="0" w:firstLineChars="0"/>
              <w:jc w:val="center"/>
              <w:textAlignment w:val="auto"/>
              <w:rPr>
                <w:rFonts w:hint="eastAsia" w:ascii="仿宋_GB2312" w:hAnsi="仿宋_GB2312" w:eastAsia="仿宋_GB2312" w:cs="仿宋_GB2312"/>
                <w:color w:val="auto"/>
                <w:sz w:val="24"/>
                <w:highlight w:val="none"/>
                <w:lang w:bidi="ar"/>
              </w:rPr>
            </w:pPr>
            <w:r>
              <w:rPr>
                <w:rFonts w:hint="eastAsia" w:ascii="仿宋_GB2312" w:hAnsi="仿宋_GB2312" w:eastAsia="仿宋_GB2312" w:cs="仿宋_GB2312"/>
                <w:color w:val="auto"/>
                <w:sz w:val="24"/>
                <w:highlight w:val="none"/>
                <w:lang w:val="en-US" w:eastAsia="zh-CN" w:bidi="ar"/>
              </w:rPr>
              <w:t>韦锦然</w:t>
            </w:r>
          </w:p>
        </w:tc>
        <w:tc>
          <w:tcPr>
            <w:tcW w:w="693" w:type="pct"/>
            <w:tcBorders>
              <w:top w:val="single" w:color="auto" w:sz="4" w:space="0"/>
              <w:left w:val="single" w:color="auto" w:sz="4" w:space="0"/>
              <w:bottom w:val="single" w:color="auto" w:sz="4" w:space="0"/>
              <w:right w:val="single" w:color="auto" w:sz="4" w:space="0"/>
            </w:tcBorders>
            <w:vAlign w:val="center"/>
          </w:tcPr>
          <w:p w14:paraId="54879ED0">
            <w:pPr>
              <w:keepNext w:val="0"/>
              <w:keepLines w:val="0"/>
              <w:pageBreakBefore w:val="0"/>
              <w:widowControl w:val="0"/>
              <w:kinsoku/>
              <w:wordWrap/>
              <w:overflowPunct/>
              <w:topLinePunct w:val="0"/>
              <w:autoSpaceDE/>
              <w:autoSpaceDN/>
              <w:bidi w:val="0"/>
              <w:adjustRightInd/>
              <w:snapToGrid/>
              <w:ind w:left="0" w:firstLine="0" w:firstLineChars="0"/>
              <w:jc w:val="center"/>
              <w:textAlignment w:val="auto"/>
              <w:rPr>
                <w:rFonts w:hint="eastAsia" w:ascii="仿宋_GB2312" w:hAnsi="仿宋_GB2312" w:eastAsia="仿宋_GB2312" w:cs="仿宋_GB2312"/>
                <w:color w:val="auto"/>
                <w:sz w:val="24"/>
                <w:highlight w:val="none"/>
                <w:lang w:bidi="ar"/>
              </w:rPr>
            </w:pPr>
            <w:r>
              <w:rPr>
                <w:rFonts w:hint="eastAsia" w:ascii="仿宋_GB2312" w:hAnsi="仿宋_GB2312" w:eastAsia="仿宋_GB2312" w:cs="仿宋_GB2312"/>
                <w:color w:val="auto"/>
                <w:sz w:val="24"/>
                <w:highlight w:val="none"/>
                <w:lang w:val="en-US" w:eastAsia="zh-CN" w:bidi="ar"/>
              </w:rPr>
              <w:t>甘蔗生产</w:t>
            </w:r>
          </w:p>
        </w:tc>
        <w:tc>
          <w:tcPr>
            <w:tcW w:w="737" w:type="pct"/>
            <w:tcBorders>
              <w:top w:val="single" w:color="auto" w:sz="4" w:space="0"/>
              <w:left w:val="single" w:color="auto" w:sz="4" w:space="0"/>
              <w:bottom w:val="single" w:color="auto" w:sz="4" w:space="0"/>
              <w:right w:val="single" w:color="auto" w:sz="4" w:space="0"/>
            </w:tcBorders>
            <w:shd w:val="clear" w:color="auto" w:fill="auto"/>
            <w:vAlign w:val="center"/>
          </w:tcPr>
          <w:p w14:paraId="5B040828">
            <w:pPr>
              <w:keepNext w:val="0"/>
              <w:keepLines w:val="0"/>
              <w:pageBreakBefore w:val="0"/>
              <w:widowControl w:val="0"/>
              <w:kinsoku/>
              <w:wordWrap/>
              <w:overflowPunct/>
              <w:topLinePunct w:val="0"/>
              <w:autoSpaceDE/>
              <w:autoSpaceDN/>
              <w:bidi w:val="0"/>
              <w:adjustRightInd/>
              <w:snapToGrid/>
              <w:ind w:left="0" w:firstLine="0" w:firstLineChars="0"/>
              <w:jc w:val="center"/>
              <w:textAlignment w:val="auto"/>
              <w:rPr>
                <w:rFonts w:hint="eastAsia" w:ascii="仿宋_GB2312" w:hAnsi="仿宋_GB2312" w:eastAsia="仿宋_GB2312" w:cs="仿宋_GB2312"/>
                <w:color w:val="auto"/>
                <w:sz w:val="24"/>
                <w:highlight w:val="none"/>
                <w:lang w:val="en-US" w:eastAsia="zh-CN" w:bidi="ar"/>
              </w:rPr>
            </w:pPr>
            <w:r>
              <w:rPr>
                <w:rFonts w:hint="eastAsia" w:ascii="仿宋_GB2312" w:hAnsi="仿宋_GB2312" w:eastAsia="仿宋_GB2312" w:cs="仿宋_GB2312"/>
                <w:color w:val="auto"/>
                <w:sz w:val="24"/>
                <w:highlight w:val="none"/>
                <w:lang w:val="en-US" w:eastAsia="zh-CN" w:bidi="ar"/>
              </w:rPr>
              <w:t>总经理</w:t>
            </w:r>
          </w:p>
        </w:tc>
        <w:tc>
          <w:tcPr>
            <w:tcW w:w="1063" w:type="pct"/>
            <w:tcBorders>
              <w:top w:val="single" w:color="000000" w:sz="2" w:space="0"/>
              <w:left w:val="single" w:color="auto" w:sz="4" w:space="0"/>
              <w:bottom w:val="single" w:color="000000" w:sz="2" w:space="0"/>
              <w:right w:val="single" w:color="auto" w:sz="4" w:space="0"/>
            </w:tcBorders>
            <w:shd w:val="clear" w:color="auto" w:fill="auto"/>
            <w:vAlign w:val="center"/>
          </w:tcPr>
          <w:p w14:paraId="71E46AB9">
            <w:pPr>
              <w:keepNext w:val="0"/>
              <w:keepLines w:val="0"/>
              <w:pageBreakBefore w:val="0"/>
              <w:widowControl w:val="0"/>
              <w:kinsoku/>
              <w:wordWrap/>
              <w:overflowPunct/>
              <w:topLinePunct w:val="0"/>
              <w:autoSpaceDE/>
              <w:autoSpaceDN/>
              <w:bidi w:val="0"/>
              <w:adjustRightInd/>
              <w:snapToGrid/>
              <w:ind w:left="0" w:firstLine="0" w:firstLineChars="0"/>
              <w:jc w:val="center"/>
              <w:textAlignment w:val="auto"/>
              <w:rPr>
                <w:rFonts w:hint="eastAsia" w:ascii="仿宋_GB2312" w:hAnsi="仿宋_GB2312" w:eastAsia="仿宋_GB2312" w:cs="仿宋_GB2312"/>
                <w:color w:val="auto"/>
                <w:sz w:val="24"/>
                <w:highlight w:val="none"/>
                <w:lang w:val="en-US" w:eastAsia="zh-CN" w:bidi="ar"/>
              </w:rPr>
            </w:pPr>
            <w:r>
              <w:rPr>
                <w:rFonts w:hint="eastAsia" w:ascii="仿宋_GB2312" w:hAnsi="仿宋_GB2312" w:eastAsia="仿宋_GB2312" w:cs="仿宋_GB2312"/>
                <w:color w:val="auto"/>
                <w:sz w:val="24"/>
                <w:highlight w:val="none"/>
                <w:lang w:val="en-US" w:eastAsia="zh-CN" w:bidi="ar"/>
              </w:rPr>
              <w:t>广西沛雨种业科技有限公司/广西沛雨农业发展有限公司</w:t>
            </w:r>
          </w:p>
        </w:tc>
        <w:tc>
          <w:tcPr>
            <w:tcW w:w="1919" w:type="pct"/>
            <w:tcBorders>
              <w:top w:val="single" w:color="auto" w:sz="4" w:space="0"/>
              <w:left w:val="single" w:color="auto" w:sz="4" w:space="0"/>
              <w:bottom w:val="single" w:color="auto" w:sz="4" w:space="0"/>
              <w:right w:val="single" w:color="auto" w:sz="4" w:space="0"/>
            </w:tcBorders>
            <w:vAlign w:val="center"/>
          </w:tcPr>
          <w:p w14:paraId="62DF4140">
            <w:pPr>
              <w:keepNext w:val="0"/>
              <w:keepLines w:val="0"/>
              <w:pageBreakBefore w:val="0"/>
              <w:widowControl w:val="0"/>
              <w:kinsoku/>
              <w:wordWrap/>
              <w:overflowPunct/>
              <w:topLinePunct w:val="0"/>
              <w:autoSpaceDE/>
              <w:autoSpaceDN/>
              <w:bidi w:val="0"/>
              <w:adjustRightInd/>
              <w:snapToGrid/>
              <w:ind w:left="0" w:firstLine="0" w:firstLineChars="0"/>
              <w:jc w:val="center"/>
              <w:textAlignment w:val="auto"/>
              <w:rPr>
                <w:rFonts w:hint="eastAsia" w:ascii="仿宋_GB2312" w:hAnsi="仿宋_GB2312" w:eastAsia="仿宋_GB2312" w:cs="仿宋_GB2312"/>
                <w:color w:val="auto"/>
                <w:sz w:val="24"/>
                <w:highlight w:val="none"/>
                <w:lang w:bidi="ar"/>
              </w:rPr>
            </w:pPr>
            <w:r>
              <w:rPr>
                <w:rFonts w:hint="eastAsia" w:ascii="仿宋_GB2312" w:hAnsi="仿宋_GB2312" w:eastAsia="仿宋_GB2312" w:cs="仿宋_GB2312"/>
                <w:color w:val="auto"/>
                <w:sz w:val="24"/>
                <w:highlight w:val="none"/>
                <w:lang w:bidi="ar"/>
              </w:rPr>
              <w:t>参与标准文本及编制说明的编写；组织开展标准征求意见会；对标准实施情况进行总结分析，不断对标准提出修正意见。</w:t>
            </w:r>
          </w:p>
        </w:tc>
      </w:tr>
      <w:tr w14:paraId="792FAB31">
        <w:tblPrEx>
          <w:tblCellMar>
            <w:top w:w="0" w:type="dxa"/>
            <w:left w:w="108" w:type="dxa"/>
            <w:bottom w:w="0" w:type="dxa"/>
            <w:right w:w="108" w:type="dxa"/>
          </w:tblCellMar>
        </w:tblPrEx>
        <w:trPr>
          <w:cantSplit/>
          <w:trHeight w:val="517" w:hRule="atLeast"/>
        </w:trPr>
        <w:tc>
          <w:tcPr>
            <w:tcW w:w="586" w:type="pct"/>
            <w:tcBorders>
              <w:top w:val="single" w:color="auto" w:sz="4" w:space="0"/>
              <w:left w:val="single" w:color="auto" w:sz="4" w:space="0"/>
              <w:bottom w:val="single" w:color="auto" w:sz="4" w:space="0"/>
              <w:right w:val="single" w:color="008000" w:sz="4" w:space="0"/>
            </w:tcBorders>
            <w:vAlign w:val="center"/>
          </w:tcPr>
          <w:p w14:paraId="6E04C364">
            <w:pPr>
              <w:keepNext w:val="0"/>
              <w:keepLines w:val="0"/>
              <w:pageBreakBefore w:val="0"/>
              <w:widowControl w:val="0"/>
              <w:kinsoku/>
              <w:wordWrap/>
              <w:overflowPunct/>
              <w:topLinePunct w:val="0"/>
              <w:autoSpaceDE/>
              <w:autoSpaceDN/>
              <w:bidi w:val="0"/>
              <w:adjustRightInd/>
              <w:snapToGrid/>
              <w:ind w:left="0" w:firstLine="0" w:firstLineChars="0"/>
              <w:jc w:val="center"/>
              <w:textAlignment w:val="auto"/>
              <w:rPr>
                <w:rFonts w:hint="eastAsia" w:ascii="仿宋_GB2312" w:hAnsi="仿宋_GB2312" w:eastAsia="仿宋_GB2312" w:cs="仿宋_GB2312"/>
                <w:color w:val="auto"/>
                <w:sz w:val="24"/>
                <w:highlight w:val="none"/>
                <w:lang w:bidi="ar"/>
              </w:rPr>
            </w:pPr>
            <w:r>
              <w:rPr>
                <w:rFonts w:hint="eastAsia" w:ascii="仿宋_GB2312" w:hAnsi="仿宋_GB2312" w:eastAsia="仿宋_GB2312" w:cs="仿宋_GB2312"/>
                <w:color w:val="auto"/>
                <w:sz w:val="24"/>
                <w:highlight w:val="none"/>
                <w:lang w:val="en-US" w:eastAsia="zh-CN" w:bidi="ar"/>
              </w:rPr>
              <w:t>卢腾福</w:t>
            </w:r>
          </w:p>
        </w:tc>
        <w:tc>
          <w:tcPr>
            <w:tcW w:w="693" w:type="pct"/>
            <w:tcBorders>
              <w:top w:val="single" w:color="auto" w:sz="4" w:space="0"/>
              <w:left w:val="single" w:color="auto" w:sz="4" w:space="0"/>
              <w:bottom w:val="single" w:color="auto" w:sz="4" w:space="0"/>
              <w:right w:val="single" w:color="auto" w:sz="4" w:space="0"/>
            </w:tcBorders>
            <w:vAlign w:val="center"/>
          </w:tcPr>
          <w:p w14:paraId="57ADE856">
            <w:pPr>
              <w:keepNext w:val="0"/>
              <w:keepLines w:val="0"/>
              <w:pageBreakBefore w:val="0"/>
              <w:widowControl w:val="0"/>
              <w:kinsoku/>
              <w:wordWrap/>
              <w:overflowPunct/>
              <w:topLinePunct w:val="0"/>
              <w:autoSpaceDE/>
              <w:autoSpaceDN/>
              <w:bidi w:val="0"/>
              <w:adjustRightInd/>
              <w:snapToGrid/>
              <w:ind w:left="0" w:firstLine="0" w:firstLineChars="0"/>
              <w:jc w:val="center"/>
              <w:textAlignment w:val="auto"/>
              <w:rPr>
                <w:rFonts w:hint="eastAsia" w:ascii="仿宋_GB2312" w:hAnsi="仿宋_GB2312" w:eastAsia="仿宋_GB2312" w:cs="仿宋_GB2312"/>
                <w:color w:val="auto"/>
                <w:sz w:val="24"/>
                <w:highlight w:val="none"/>
                <w:lang w:bidi="ar"/>
              </w:rPr>
            </w:pPr>
            <w:r>
              <w:rPr>
                <w:rFonts w:hint="eastAsia" w:ascii="仿宋_GB2312" w:hAnsi="仿宋_GB2312" w:eastAsia="仿宋_GB2312" w:cs="仿宋_GB2312"/>
                <w:color w:val="auto"/>
                <w:sz w:val="24"/>
                <w:highlight w:val="none"/>
                <w:lang w:val="en-US" w:eastAsia="zh-CN" w:bidi="ar"/>
              </w:rPr>
              <w:t>甘蔗生产</w:t>
            </w:r>
          </w:p>
        </w:tc>
        <w:tc>
          <w:tcPr>
            <w:tcW w:w="737" w:type="pct"/>
            <w:tcBorders>
              <w:top w:val="single" w:color="auto" w:sz="4" w:space="0"/>
              <w:left w:val="single" w:color="auto" w:sz="4" w:space="0"/>
              <w:bottom w:val="single" w:color="auto" w:sz="4" w:space="0"/>
              <w:right w:val="single" w:color="auto" w:sz="4" w:space="0"/>
            </w:tcBorders>
            <w:shd w:val="clear" w:color="auto" w:fill="auto"/>
            <w:vAlign w:val="center"/>
          </w:tcPr>
          <w:p w14:paraId="2BA36ADC">
            <w:pPr>
              <w:keepNext w:val="0"/>
              <w:keepLines w:val="0"/>
              <w:pageBreakBefore w:val="0"/>
              <w:widowControl w:val="0"/>
              <w:kinsoku/>
              <w:wordWrap/>
              <w:overflowPunct/>
              <w:topLinePunct w:val="0"/>
              <w:autoSpaceDE/>
              <w:autoSpaceDN/>
              <w:bidi w:val="0"/>
              <w:adjustRightInd/>
              <w:snapToGrid/>
              <w:ind w:left="0" w:firstLine="0" w:firstLineChars="0"/>
              <w:jc w:val="center"/>
              <w:textAlignment w:val="auto"/>
              <w:rPr>
                <w:rFonts w:hint="eastAsia" w:ascii="仿宋_GB2312" w:hAnsi="仿宋_GB2312" w:eastAsia="仿宋_GB2312" w:cs="仿宋_GB2312"/>
                <w:color w:val="auto"/>
                <w:sz w:val="24"/>
                <w:highlight w:val="none"/>
                <w:lang w:val="en-US" w:eastAsia="zh-CN" w:bidi="ar"/>
              </w:rPr>
            </w:pPr>
            <w:r>
              <w:rPr>
                <w:rFonts w:hint="eastAsia" w:ascii="仿宋_GB2312" w:hAnsi="仿宋_GB2312" w:eastAsia="仿宋_GB2312" w:cs="仿宋_GB2312"/>
                <w:color w:val="auto"/>
                <w:sz w:val="24"/>
                <w:highlight w:val="none"/>
                <w:lang w:val="en-US" w:eastAsia="zh-CN" w:bidi="ar"/>
              </w:rPr>
              <w:t>经理</w:t>
            </w:r>
          </w:p>
        </w:tc>
        <w:tc>
          <w:tcPr>
            <w:tcW w:w="1063" w:type="pct"/>
            <w:tcBorders>
              <w:top w:val="single" w:color="000000" w:sz="2" w:space="0"/>
              <w:left w:val="single" w:color="auto" w:sz="4" w:space="0"/>
              <w:bottom w:val="single" w:color="000000" w:sz="2" w:space="0"/>
              <w:right w:val="single" w:color="auto" w:sz="4" w:space="0"/>
            </w:tcBorders>
            <w:shd w:val="clear" w:color="auto" w:fill="auto"/>
            <w:vAlign w:val="center"/>
          </w:tcPr>
          <w:p w14:paraId="59A2BB97">
            <w:pPr>
              <w:keepNext w:val="0"/>
              <w:keepLines w:val="0"/>
              <w:pageBreakBefore w:val="0"/>
              <w:widowControl w:val="0"/>
              <w:kinsoku/>
              <w:wordWrap/>
              <w:overflowPunct/>
              <w:topLinePunct w:val="0"/>
              <w:autoSpaceDE/>
              <w:autoSpaceDN/>
              <w:bidi w:val="0"/>
              <w:adjustRightInd/>
              <w:snapToGrid/>
              <w:ind w:left="0" w:firstLine="0" w:firstLineChars="0"/>
              <w:jc w:val="center"/>
              <w:textAlignment w:val="auto"/>
              <w:rPr>
                <w:rFonts w:hint="eastAsia" w:ascii="仿宋_GB2312" w:hAnsi="仿宋_GB2312" w:eastAsia="仿宋_GB2312" w:cs="仿宋_GB2312"/>
                <w:color w:val="auto"/>
                <w:sz w:val="24"/>
                <w:highlight w:val="none"/>
                <w:lang w:val="en-US" w:eastAsia="zh-CN" w:bidi="ar"/>
              </w:rPr>
            </w:pPr>
            <w:r>
              <w:rPr>
                <w:rFonts w:hint="eastAsia" w:ascii="仿宋_GB2312" w:hAnsi="仿宋_GB2312" w:eastAsia="仿宋_GB2312" w:cs="仿宋_GB2312"/>
                <w:color w:val="auto"/>
                <w:sz w:val="24"/>
                <w:highlight w:val="none"/>
                <w:lang w:val="en-US" w:eastAsia="zh-CN" w:bidi="ar"/>
              </w:rPr>
              <w:t>广西沛雨种业科技有限公司/广西沛雨农业发展有限公司</w:t>
            </w:r>
          </w:p>
        </w:tc>
        <w:tc>
          <w:tcPr>
            <w:tcW w:w="1919" w:type="pct"/>
            <w:tcBorders>
              <w:top w:val="single" w:color="auto" w:sz="4" w:space="0"/>
              <w:left w:val="single" w:color="auto" w:sz="4" w:space="0"/>
              <w:bottom w:val="single" w:color="auto" w:sz="4" w:space="0"/>
              <w:right w:val="single" w:color="auto" w:sz="4" w:space="0"/>
            </w:tcBorders>
            <w:shd w:val="clear" w:color="auto" w:fill="auto"/>
            <w:vAlign w:val="center"/>
          </w:tcPr>
          <w:p w14:paraId="6DBC3A55">
            <w:pPr>
              <w:keepNext w:val="0"/>
              <w:keepLines w:val="0"/>
              <w:widowControl/>
              <w:suppressLineNumbers w:val="0"/>
              <w:ind w:firstLine="480" w:firstLineChars="20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仿宋_GB2312" w:hAnsi="仿宋_GB2312" w:eastAsia="仿宋_GB2312" w:cs="仿宋_GB2312"/>
                <w:color w:val="auto"/>
                <w:sz w:val="24"/>
                <w:highlight w:val="none"/>
                <w:lang w:bidi="ar"/>
              </w:rPr>
              <w:t>参与标准文本及编制说明的编写；组织开展标准征求意见会；对标准实施情况进行总结分析，不断对标准提出修正意见。</w:t>
            </w:r>
          </w:p>
        </w:tc>
      </w:tr>
      <w:tr w14:paraId="7255DCDF">
        <w:tblPrEx>
          <w:tblCellMar>
            <w:top w:w="0" w:type="dxa"/>
            <w:left w:w="108" w:type="dxa"/>
            <w:bottom w:w="0" w:type="dxa"/>
            <w:right w:w="108" w:type="dxa"/>
          </w:tblCellMar>
        </w:tblPrEx>
        <w:trPr>
          <w:cantSplit/>
          <w:trHeight w:val="517" w:hRule="atLeast"/>
        </w:trPr>
        <w:tc>
          <w:tcPr>
            <w:tcW w:w="586" w:type="pct"/>
            <w:tcBorders>
              <w:top w:val="single" w:color="auto" w:sz="4" w:space="0"/>
              <w:left w:val="single" w:color="auto" w:sz="4" w:space="0"/>
              <w:bottom w:val="single" w:color="auto" w:sz="4" w:space="0"/>
              <w:right w:val="single" w:color="008000" w:sz="4" w:space="0"/>
            </w:tcBorders>
            <w:vAlign w:val="center"/>
          </w:tcPr>
          <w:p w14:paraId="3647FDF5">
            <w:pPr>
              <w:keepNext w:val="0"/>
              <w:keepLines w:val="0"/>
              <w:pageBreakBefore w:val="0"/>
              <w:widowControl w:val="0"/>
              <w:kinsoku/>
              <w:wordWrap/>
              <w:overflowPunct/>
              <w:topLinePunct w:val="0"/>
              <w:autoSpaceDE/>
              <w:autoSpaceDN/>
              <w:bidi w:val="0"/>
              <w:adjustRightInd/>
              <w:snapToGrid/>
              <w:ind w:left="0" w:firstLine="0" w:firstLineChars="0"/>
              <w:jc w:val="center"/>
              <w:textAlignment w:val="auto"/>
              <w:rPr>
                <w:rFonts w:hint="eastAsia" w:ascii="仿宋_GB2312" w:hAnsi="仿宋_GB2312" w:eastAsia="仿宋_GB2312" w:cs="仿宋_GB2312"/>
                <w:color w:val="auto"/>
                <w:sz w:val="24"/>
                <w:highlight w:val="none"/>
                <w:lang w:bidi="ar"/>
              </w:rPr>
            </w:pPr>
            <w:r>
              <w:rPr>
                <w:rFonts w:hint="eastAsia" w:ascii="仿宋_GB2312" w:hAnsi="仿宋_GB2312" w:eastAsia="仿宋_GB2312" w:cs="仿宋_GB2312"/>
                <w:color w:val="auto"/>
                <w:sz w:val="24"/>
                <w:highlight w:val="none"/>
                <w:lang w:val="en-US" w:eastAsia="zh-CN" w:bidi="ar"/>
              </w:rPr>
              <w:t>朱桂薇</w:t>
            </w:r>
          </w:p>
        </w:tc>
        <w:tc>
          <w:tcPr>
            <w:tcW w:w="693" w:type="pct"/>
            <w:tcBorders>
              <w:top w:val="single" w:color="auto" w:sz="4" w:space="0"/>
              <w:left w:val="single" w:color="auto" w:sz="4" w:space="0"/>
              <w:bottom w:val="single" w:color="auto" w:sz="4" w:space="0"/>
              <w:right w:val="single" w:color="auto" w:sz="4" w:space="0"/>
            </w:tcBorders>
            <w:vAlign w:val="center"/>
          </w:tcPr>
          <w:p w14:paraId="2E04C467">
            <w:pPr>
              <w:keepNext w:val="0"/>
              <w:keepLines w:val="0"/>
              <w:pageBreakBefore w:val="0"/>
              <w:widowControl w:val="0"/>
              <w:kinsoku/>
              <w:wordWrap/>
              <w:overflowPunct/>
              <w:topLinePunct w:val="0"/>
              <w:autoSpaceDE/>
              <w:autoSpaceDN/>
              <w:bidi w:val="0"/>
              <w:adjustRightInd/>
              <w:snapToGrid/>
              <w:ind w:left="0" w:firstLine="0" w:firstLineChars="0"/>
              <w:jc w:val="center"/>
              <w:textAlignment w:val="auto"/>
              <w:rPr>
                <w:rFonts w:hint="eastAsia" w:ascii="仿宋_GB2312" w:hAnsi="仿宋_GB2312" w:eastAsia="仿宋_GB2312" w:cs="仿宋_GB2312"/>
                <w:color w:val="auto"/>
                <w:sz w:val="24"/>
                <w:highlight w:val="none"/>
                <w:lang w:bidi="ar"/>
              </w:rPr>
            </w:pPr>
            <w:r>
              <w:rPr>
                <w:rFonts w:hint="eastAsia" w:ascii="仿宋_GB2312" w:hAnsi="仿宋_GB2312" w:eastAsia="仿宋_GB2312" w:cs="仿宋_GB2312"/>
                <w:color w:val="auto"/>
                <w:sz w:val="24"/>
                <w:highlight w:val="none"/>
                <w:lang w:val="en-US" w:eastAsia="zh-CN" w:bidi="ar"/>
              </w:rPr>
              <w:t>管理</w:t>
            </w:r>
          </w:p>
        </w:tc>
        <w:tc>
          <w:tcPr>
            <w:tcW w:w="737" w:type="pct"/>
            <w:tcBorders>
              <w:top w:val="single" w:color="auto" w:sz="4" w:space="0"/>
              <w:left w:val="single" w:color="auto" w:sz="4" w:space="0"/>
              <w:bottom w:val="single" w:color="auto" w:sz="4" w:space="0"/>
              <w:right w:val="single" w:color="auto" w:sz="4" w:space="0"/>
            </w:tcBorders>
            <w:shd w:val="clear" w:color="auto" w:fill="auto"/>
            <w:vAlign w:val="center"/>
          </w:tcPr>
          <w:p w14:paraId="52D9D22B">
            <w:pPr>
              <w:keepNext w:val="0"/>
              <w:keepLines w:val="0"/>
              <w:pageBreakBefore w:val="0"/>
              <w:widowControl w:val="0"/>
              <w:kinsoku/>
              <w:wordWrap/>
              <w:overflowPunct/>
              <w:topLinePunct w:val="0"/>
              <w:autoSpaceDE/>
              <w:autoSpaceDN/>
              <w:bidi w:val="0"/>
              <w:adjustRightInd/>
              <w:snapToGrid/>
              <w:ind w:left="0" w:firstLine="0" w:firstLineChars="0"/>
              <w:jc w:val="center"/>
              <w:textAlignment w:val="auto"/>
              <w:rPr>
                <w:rFonts w:hint="default" w:ascii="仿宋_GB2312" w:hAnsi="仿宋_GB2312" w:eastAsia="仿宋_GB2312" w:cs="仿宋_GB2312"/>
                <w:color w:val="auto"/>
                <w:sz w:val="24"/>
                <w:highlight w:val="none"/>
                <w:lang w:val="en-US" w:eastAsia="zh-CN" w:bidi="ar"/>
              </w:rPr>
            </w:pPr>
            <w:r>
              <w:rPr>
                <w:rFonts w:hint="eastAsia" w:ascii="仿宋_GB2312" w:hAnsi="仿宋_GB2312" w:eastAsia="仿宋_GB2312" w:cs="仿宋_GB2312"/>
                <w:color w:val="auto"/>
                <w:sz w:val="24"/>
                <w:highlight w:val="none"/>
                <w:lang w:val="en-US" w:eastAsia="zh-CN" w:bidi="ar"/>
              </w:rPr>
              <w:t>管理八级</w:t>
            </w:r>
          </w:p>
        </w:tc>
        <w:tc>
          <w:tcPr>
            <w:tcW w:w="1063" w:type="pct"/>
            <w:tcBorders>
              <w:top w:val="single" w:color="000000" w:sz="2" w:space="0"/>
              <w:left w:val="single" w:color="auto" w:sz="4" w:space="0"/>
              <w:bottom w:val="single" w:color="000000" w:sz="2" w:space="0"/>
              <w:right w:val="single" w:color="auto" w:sz="4" w:space="0"/>
            </w:tcBorders>
            <w:shd w:val="clear" w:color="auto" w:fill="auto"/>
            <w:vAlign w:val="center"/>
          </w:tcPr>
          <w:p w14:paraId="1C400936">
            <w:pPr>
              <w:keepNext w:val="0"/>
              <w:keepLines w:val="0"/>
              <w:pageBreakBefore w:val="0"/>
              <w:widowControl w:val="0"/>
              <w:kinsoku/>
              <w:wordWrap/>
              <w:overflowPunct/>
              <w:topLinePunct w:val="0"/>
              <w:autoSpaceDE/>
              <w:autoSpaceDN/>
              <w:bidi w:val="0"/>
              <w:adjustRightInd/>
              <w:snapToGrid/>
              <w:ind w:left="0" w:firstLine="0" w:firstLineChars="0"/>
              <w:jc w:val="center"/>
              <w:textAlignment w:val="auto"/>
              <w:rPr>
                <w:rFonts w:hint="eastAsia" w:ascii="仿宋_GB2312" w:hAnsi="仿宋_GB2312" w:eastAsia="仿宋_GB2312" w:cs="仿宋_GB2312"/>
                <w:color w:val="auto"/>
                <w:sz w:val="24"/>
                <w:highlight w:val="none"/>
                <w:lang w:val="en-US" w:eastAsia="zh-CN" w:bidi="ar"/>
              </w:rPr>
            </w:pPr>
            <w:r>
              <w:rPr>
                <w:rFonts w:hint="eastAsia" w:ascii="仿宋_GB2312" w:hAnsi="仿宋_GB2312" w:eastAsia="仿宋_GB2312" w:cs="仿宋_GB2312"/>
                <w:color w:val="auto"/>
                <w:sz w:val="24"/>
                <w:highlight w:val="none"/>
                <w:lang w:val="en-US" w:eastAsia="zh-CN" w:bidi="ar"/>
              </w:rPr>
              <w:t>广西壮族自治区农业科学院</w:t>
            </w:r>
          </w:p>
        </w:tc>
        <w:tc>
          <w:tcPr>
            <w:tcW w:w="1919" w:type="pct"/>
            <w:tcBorders>
              <w:top w:val="single" w:color="auto" w:sz="4" w:space="0"/>
              <w:left w:val="single" w:color="auto" w:sz="4" w:space="0"/>
              <w:bottom w:val="single" w:color="auto" w:sz="4" w:space="0"/>
              <w:right w:val="single" w:color="auto" w:sz="4" w:space="0"/>
            </w:tcBorders>
            <w:vAlign w:val="center"/>
          </w:tcPr>
          <w:p w14:paraId="43914CEE">
            <w:pPr>
              <w:keepNext w:val="0"/>
              <w:keepLines w:val="0"/>
              <w:pageBreakBefore w:val="0"/>
              <w:widowControl w:val="0"/>
              <w:kinsoku/>
              <w:wordWrap/>
              <w:overflowPunct/>
              <w:topLinePunct w:val="0"/>
              <w:autoSpaceDE/>
              <w:autoSpaceDN/>
              <w:bidi w:val="0"/>
              <w:adjustRightInd/>
              <w:snapToGrid/>
              <w:ind w:left="0" w:firstLine="480" w:firstLineChars="200"/>
              <w:jc w:val="center"/>
              <w:textAlignment w:val="auto"/>
              <w:rPr>
                <w:rFonts w:hint="eastAsia" w:ascii="仿宋_GB2312" w:hAnsi="仿宋_GB2312" w:eastAsia="仿宋_GB2312" w:cs="仿宋_GB2312"/>
                <w:color w:val="auto"/>
                <w:sz w:val="24"/>
                <w:highlight w:val="none"/>
                <w:lang w:bidi="ar"/>
              </w:rPr>
            </w:pPr>
            <w:r>
              <w:rPr>
                <w:rFonts w:hint="eastAsia" w:ascii="仿宋_GB2312" w:hAnsi="仿宋_GB2312" w:eastAsia="仿宋_GB2312" w:cs="仿宋_GB2312"/>
                <w:color w:val="auto"/>
                <w:sz w:val="24"/>
                <w:highlight w:val="none"/>
                <w:lang w:bidi="ar"/>
              </w:rPr>
              <w:t>参与标准文本及编制说明的编写；组织开展标准征求意见会；对标准实施情况进行总结分析，不断对标准提出修正意见。</w:t>
            </w:r>
          </w:p>
        </w:tc>
      </w:tr>
      <w:tr w14:paraId="789DB8F0">
        <w:tblPrEx>
          <w:tblCellMar>
            <w:top w:w="0" w:type="dxa"/>
            <w:left w:w="108" w:type="dxa"/>
            <w:bottom w:w="0" w:type="dxa"/>
            <w:right w:w="108" w:type="dxa"/>
          </w:tblCellMar>
        </w:tblPrEx>
        <w:trPr>
          <w:cantSplit/>
          <w:trHeight w:val="517" w:hRule="atLeast"/>
        </w:trPr>
        <w:tc>
          <w:tcPr>
            <w:tcW w:w="586" w:type="pct"/>
            <w:tcBorders>
              <w:top w:val="single" w:color="auto" w:sz="4" w:space="0"/>
              <w:left w:val="single" w:color="auto" w:sz="4" w:space="0"/>
              <w:bottom w:val="single" w:color="auto" w:sz="4" w:space="0"/>
              <w:right w:val="single" w:color="008000" w:sz="4" w:space="0"/>
            </w:tcBorders>
            <w:vAlign w:val="center"/>
          </w:tcPr>
          <w:p w14:paraId="05EEB548">
            <w:pPr>
              <w:keepNext w:val="0"/>
              <w:keepLines w:val="0"/>
              <w:pageBreakBefore w:val="0"/>
              <w:widowControl w:val="0"/>
              <w:kinsoku/>
              <w:wordWrap/>
              <w:overflowPunct/>
              <w:topLinePunct w:val="0"/>
              <w:autoSpaceDE/>
              <w:autoSpaceDN/>
              <w:bidi w:val="0"/>
              <w:adjustRightInd/>
              <w:snapToGrid/>
              <w:ind w:left="0" w:firstLine="0" w:firstLineChars="0"/>
              <w:jc w:val="center"/>
              <w:textAlignment w:val="auto"/>
              <w:rPr>
                <w:rFonts w:hint="eastAsia" w:ascii="仿宋_GB2312" w:hAnsi="仿宋_GB2312" w:eastAsia="仿宋_GB2312" w:cs="仿宋_GB2312"/>
                <w:color w:val="auto"/>
                <w:sz w:val="24"/>
                <w:highlight w:val="none"/>
                <w:lang w:bidi="ar"/>
              </w:rPr>
            </w:pPr>
            <w:r>
              <w:rPr>
                <w:rFonts w:hint="eastAsia" w:ascii="仿宋_GB2312" w:hAnsi="仿宋_GB2312" w:eastAsia="仿宋_GB2312" w:cs="仿宋_GB2312"/>
                <w:color w:val="auto"/>
                <w:sz w:val="24"/>
                <w:highlight w:val="none"/>
                <w:lang w:val="en-US" w:eastAsia="zh-CN" w:bidi="ar"/>
              </w:rPr>
              <w:t>覃文宪</w:t>
            </w:r>
          </w:p>
        </w:tc>
        <w:tc>
          <w:tcPr>
            <w:tcW w:w="693" w:type="pct"/>
            <w:tcBorders>
              <w:top w:val="single" w:color="auto" w:sz="4" w:space="0"/>
              <w:left w:val="single" w:color="auto" w:sz="4" w:space="0"/>
              <w:bottom w:val="single" w:color="auto" w:sz="4" w:space="0"/>
              <w:right w:val="single" w:color="auto" w:sz="4" w:space="0"/>
            </w:tcBorders>
            <w:shd w:val="clear" w:color="auto" w:fill="auto"/>
            <w:vAlign w:val="center"/>
          </w:tcPr>
          <w:p w14:paraId="6B346510">
            <w:pPr>
              <w:keepNext w:val="0"/>
              <w:keepLines w:val="0"/>
              <w:pageBreakBefore w:val="0"/>
              <w:widowControl w:val="0"/>
              <w:kinsoku/>
              <w:wordWrap/>
              <w:overflowPunct/>
              <w:topLinePunct w:val="0"/>
              <w:autoSpaceDE/>
              <w:autoSpaceDN/>
              <w:bidi w:val="0"/>
              <w:adjustRightInd/>
              <w:snapToGrid/>
              <w:ind w:left="0" w:firstLine="0" w:firstLineChars="0"/>
              <w:jc w:val="center"/>
              <w:textAlignment w:val="auto"/>
              <w:rPr>
                <w:rFonts w:hint="eastAsia" w:ascii="仿宋_GB2312" w:hAnsi="仿宋_GB2312" w:eastAsia="仿宋_GB2312" w:cs="仿宋_GB2312"/>
                <w:color w:val="auto"/>
                <w:sz w:val="24"/>
                <w:highlight w:val="none"/>
                <w:lang w:val="en-US" w:eastAsia="zh-CN" w:bidi="ar"/>
              </w:rPr>
            </w:pPr>
            <w:r>
              <w:rPr>
                <w:rFonts w:hint="eastAsia" w:ascii="仿宋_GB2312" w:hAnsi="仿宋_GB2312" w:eastAsia="仿宋_GB2312" w:cs="仿宋_GB2312"/>
                <w:color w:val="auto"/>
                <w:sz w:val="24"/>
                <w:highlight w:val="none"/>
                <w:lang w:val="en-US" w:eastAsia="zh-CN" w:bidi="ar"/>
              </w:rPr>
              <w:t>机械制造</w:t>
            </w:r>
          </w:p>
        </w:tc>
        <w:tc>
          <w:tcPr>
            <w:tcW w:w="737" w:type="pct"/>
            <w:tcBorders>
              <w:top w:val="single" w:color="auto" w:sz="4" w:space="0"/>
              <w:left w:val="single" w:color="auto" w:sz="4" w:space="0"/>
              <w:bottom w:val="single" w:color="auto" w:sz="4" w:space="0"/>
              <w:right w:val="single" w:color="auto" w:sz="4" w:space="0"/>
            </w:tcBorders>
            <w:shd w:val="clear" w:color="auto" w:fill="auto"/>
            <w:vAlign w:val="center"/>
          </w:tcPr>
          <w:p w14:paraId="4278B7DB">
            <w:pPr>
              <w:keepNext w:val="0"/>
              <w:keepLines w:val="0"/>
              <w:pageBreakBefore w:val="0"/>
              <w:widowControl w:val="0"/>
              <w:kinsoku/>
              <w:wordWrap/>
              <w:overflowPunct/>
              <w:topLinePunct w:val="0"/>
              <w:autoSpaceDE/>
              <w:autoSpaceDN/>
              <w:bidi w:val="0"/>
              <w:adjustRightInd/>
              <w:snapToGrid/>
              <w:ind w:left="0" w:firstLine="0" w:firstLineChars="0"/>
              <w:jc w:val="center"/>
              <w:textAlignment w:val="auto"/>
              <w:rPr>
                <w:rFonts w:hint="eastAsia" w:ascii="仿宋_GB2312" w:hAnsi="仿宋_GB2312" w:eastAsia="仿宋_GB2312" w:cs="仿宋_GB2312"/>
                <w:color w:val="auto"/>
                <w:sz w:val="24"/>
                <w:highlight w:val="none"/>
                <w:lang w:val="en-US" w:eastAsia="zh-CN" w:bidi="ar"/>
              </w:rPr>
            </w:pPr>
            <w:r>
              <w:rPr>
                <w:rFonts w:hint="eastAsia" w:ascii="仿宋_GB2312" w:hAnsi="仿宋_GB2312" w:eastAsia="仿宋_GB2312" w:cs="仿宋_GB2312"/>
                <w:color w:val="auto"/>
                <w:sz w:val="24"/>
                <w:highlight w:val="none"/>
                <w:lang w:val="en-US" w:eastAsia="zh-CN" w:bidi="ar"/>
              </w:rPr>
              <w:t>工程师</w:t>
            </w:r>
          </w:p>
        </w:tc>
        <w:tc>
          <w:tcPr>
            <w:tcW w:w="1063" w:type="pct"/>
            <w:tcBorders>
              <w:top w:val="single" w:color="000000" w:sz="2" w:space="0"/>
              <w:left w:val="single" w:color="auto" w:sz="4" w:space="0"/>
              <w:bottom w:val="single" w:color="000000" w:sz="2" w:space="0"/>
              <w:right w:val="single" w:color="auto" w:sz="4" w:space="0"/>
            </w:tcBorders>
            <w:shd w:val="clear" w:color="auto" w:fill="auto"/>
            <w:vAlign w:val="center"/>
          </w:tcPr>
          <w:p w14:paraId="083B53C2">
            <w:pPr>
              <w:keepNext w:val="0"/>
              <w:keepLines w:val="0"/>
              <w:pageBreakBefore w:val="0"/>
              <w:widowControl w:val="0"/>
              <w:kinsoku/>
              <w:wordWrap/>
              <w:overflowPunct/>
              <w:topLinePunct w:val="0"/>
              <w:autoSpaceDE/>
              <w:autoSpaceDN/>
              <w:bidi w:val="0"/>
              <w:adjustRightInd/>
              <w:snapToGrid/>
              <w:ind w:left="0" w:firstLine="0" w:firstLineChars="0"/>
              <w:jc w:val="center"/>
              <w:textAlignment w:val="auto"/>
              <w:rPr>
                <w:rFonts w:hint="eastAsia" w:ascii="仿宋_GB2312" w:hAnsi="仿宋_GB2312" w:eastAsia="仿宋_GB2312" w:cs="仿宋_GB2312"/>
                <w:color w:val="auto"/>
                <w:sz w:val="24"/>
                <w:highlight w:val="none"/>
                <w:lang w:val="en-US" w:eastAsia="zh-CN" w:bidi="ar"/>
              </w:rPr>
            </w:pPr>
            <w:r>
              <w:rPr>
                <w:rFonts w:hint="eastAsia" w:ascii="仿宋_GB2312" w:hAnsi="仿宋_GB2312" w:eastAsia="仿宋_GB2312" w:cs="仿宋_GB2312"/>
                <w:color w:val="auto"/>
                <w:sz w:val="24"/>
                <w:highlight w:val="none"/>
                <w:lang w:val="en-US" w:eastAsia="zh-CN" w:bidi="ar"/>
              </w:rPr>
              <w:t>广西壮族自治区农业科学院</w:t>
            </w:r>
          </w:p>
        </w:tc>
        <w:tc>
          <w:tcPr>
            <w:tcW w:w="1919" w:type="pct"/>
            <w:tcBorders>
              <w:top w:val="single" w:color="auto" w:sz="4" w:space="0"/>
              <w:left w:val="single" w:color="auto" w:sz="4" w:space="0"/>
              <w:bottom w:val="single" w:color="auto" w:sz="4" w:space="0"/>
              <w:right w:val="single" w:color="auto" w:sz="4" w:space="0"/>
            </w:tcBorders>
            <w:vAlign w:val="center"/>
          </w:tcPr>
          <w:p w14:paraId="0B31AD5B">
            <w:pPr>
              <w:keepNext w:val="0"/>
              <w:keepLines w:val="0"/>
              <w:pageBreakBefore w:val="0"/>
              <w:widowControl w:val="0"/>
              <w:kinsoku/>
              <w:wordWrap/>
              <w:overflowPunct/>
              <w:topLinePunct w:val="0"/>
              <w:autoSpaceDE/>
              <w:autoSpaceDN/>
              <w:bidi w:val="0"/>
              <w:adjustRightInd/>
              <w:snapToGrid/>
              <w:ind w:left="0" w:firstLine="480" w:firstLineChars="200"/>
              <w:jc w:val="center"/>
              <w:textAlignment w:val="auto"/>
              <w:rPr>
                <w:rFonts w:hint="eastAsia" w:ascii="仿宋_GB2312" w:hAnsi="仿宋_GB2312" w:eastAsia="仿宋_GB2312" w:cs="仿宋_GB2312"/>
                <w:color w:val="auto"/>
                <w:sz w:val="24"/>
                <w:highlight w:val="none"/>
                <w:lang w:bidi="ar"/>
              </w:rPr>
            </w:pPr>
            <w:r>
              <w:rPr>
                <w:rFonts w:hint="eastAsia" w:ascii="仿宋_GB2312" w:hAnsi="仿宋_GB2312" w:eastAsia="仿宋_GB2312" w:cs="仿宋_GB2312"/>
                <w:color w:val="auto"/>
                <w:sz w:val="24"/>
                <w:highlight w:val="none"/>
                <w:lang w:bidi="ar"/>
              </w:rPr>
              <w:t>参与标准文本及编制说明的编写；组织开展标准征求意见会；对标准实施情况进行总结分析，不断对标准提出修正意见。</w:t>
            </w:r>
          </w:p>
        </w:tc>
      </w:tr>
      <w:tr w14:paraId="1B05A18C">
        <w:tblPrEx>
          <w:tblCellMar>
            <w:top w:w="0" w:type="dxa"/>
            <w:left w:w="108" w:type="dxa"/>
            <w:bottom w:w="0" w:type="dxa"/>
            <w:right w:w="108" w:type="dxa"/>
          </w:tblCellMar>
        </w:tblPrEx>
        <w:trPr>
          <w:cantSplit/>
          <w:trHeight w:val="517" w:hRule="atLeast"/>
        </w:trPr>
        <w:tc>
          <w:tcPr>
            <w:tcW w:w="586" w:type="pct"/>
            <w:tcBorders>
              <w:top w:val="single" w:color="auto" w:sz="4" w:space="0"/>
              <w:left w:val="single" w:color="auto" w:sz="4" w:space="0"/>
              <w:bottom w:val="single" w:color="auto" w:sz="4" w:space="0"/>
              <w:right w:val="single" w:color="008000" w:sz="4" w:space="0"/>
            </w:tcBorders>
            <w:vAlign w:val="center"/>
          </w:tcPr>
          <w:p w14:paraId="766C0D16">
            <w:pPr>
              <w:keepNext w:val="0"/>
              <w:keepLines w:val="0"/>
              <w:pageBreakBefore w:val="0"/>
              <w:widowControl w:val="0"/>
              <w:kinsoku/>
              <w:wordWrap/>
              <w:overflowPunct/>
              <w:topLinePunct w:val="0"/>
              <w:autoSpaceDE/>
              <w:autoSpaceDN/>
              <w:bidi w:val="0"/>
              <w:adjustRightInd/>
              <w:snapToGrid/>
              <w:ind w:left="0" w:firstLine="0" w:firstLineChars="0"/>
              <w:jc w:val="center"/>
              <w:textAlignment w:val="auto"/>
              <w:rPr>
                <w:rFonts w:hint="eastAsia" w:ascii="仿宋_GB2312" w:hAnsi="仿宋_GB2312" w:eastAsia="仿宋_GB2312" w:cs="仿宋_GB2312"/>
                <w:color w:val="auto"/>
                <w:sz w:val="24"/>
                <w:highlight w:val="none"/>
                <w:lang w:bidi="ar"/>
              </w:rPr>
            </w:pPr>
            <w:r>
              <w:rPr>
                <w:rFonts w:hint="eastAsia" w:ascii="仿宋_GB2312" w:hAnsi="仿宋_GB2312" w:eastAsia="仿宋_GB2312" w:cs="仿宋_GB2312"/>
                <w:color w:val="auto"/>
                <w:sz w:val="24"/>
                <w:highlight w:val="none"/>
                <w:lang w:val="en-US" w:eastAsia="zh-CN" w:bidi="ar"/>
              </w:rPr>
              <w:t>黄成丰</w:t>
            </w:r>
          </w:p>
        </w:tc>
        <w:tc>
          <w:tcPr>
            <w:tcW w:w="693" w:type="pct"/>
            <w:tcBorders>
              <w:top w:val="single" w:color="auto" w:sz="4" w:space="0"/>
              <w:left w:val="single" w:color="auto" w:sz="4" w:space="0"/>
              <w:bottom w:val="single" w:color="auto" w:sz="4" w:space="0"/>
              <w:right w:val="single" w:color="auto" w:sz="4" w:space="0"/>
            </w:tcBorders>
            <w:shd w:val="clear" w:color="auto" w:fill="auto"/>
            <w:vAlign w:val="center"/>
          </w:tcPr>
          <w:p w14:paraId="35EB6516">
            <w:pPr>
              <w:keepNext w:val="0"/>
              <w:keepLines w:val="0"/>
              <w:pageBreakBefore w:val="0"/>
              <w:widowControl w:val="0"/>
              <w:kinsoku/>
              <w:wordWrap/>
              <w:overflowPunct/>
              <w:topLinePunct w:val="0"/>
              <w:autoSpaceDE/>
              <w:autoSpaceDN/>
              <w:bidi w:val="0"/>
              <w:adjustRightInd/>
              <w:snapToGrid/>
              <w:ind w:left="0" w:firstLine="0" w:firstLineChars="0"/>
              <w:jc w:val="center"/>
              <w:textAlignment w:val="auto"/>
              <w:rPr>
                <w:rFonts w:hint="eastAsia" w:ascii="仿宋_GB2312" w:hAnsi="仿宋_GB2312" w:eastAsia="仿宋_GB2312" w:cs="仿宋_GB2312"/>
                <w:color w:val="auto"/>
                <w:sz w:val="24"/>
                <w:highlight w:val="none"/>
                <w:lang w:val="en-US" w:eastAsia="zh-CN" w:bidi="ar"/>
              </w:rPr>
            </w:pPr>
            <w:r>
              <w:rPr>
                <w:rFonts w:hint="eastAsia" w:ascii="仿宋_GB2312" w:hAnsi="仿宋_GB2312" w:eastAsia="仿宋_GB2312" w:cs="仿宋_GB2312"/>
                <w:color w:val="auto"/>
                <w:sz w:val="24"/>
                <w:highlight w:val="none"/>
                <w:lang w:val="en-US" w:eastAsia="zh-CN" w:bidi="ar"/>
              </w:rPr>
              <w:t>甘蔗栽培</w:t>
            </w:r>
          </w:p>
        </w:tc>
        <w:tc>
          <w:tcPr>
            <w:tcW w:w="737" w:type="pct"/>
            <w:tcBorders>
              <w:top w:val="single" w:color="auto" w:sz="4" w:space="0"/>
              <w:left w:val="single" w:color="auto" w:sz="4" w:space="0"/>
              <w:bottom w:val="single" w:color="auto" w:sz="4" w:space="0"/>
              <w:right w:val="single" w:color="auto" w:sz="4" w:space="0"/>
            </w:tcBorders>
            <w:shd w:val="clear" w:color="auto" w:fill="auto"/>
            <w:vAlign w:val="center"/>
          </w:tcPr>
          <w:p w14:paraId="47B731A8">
            <w:pPr>
              <w:keepNext w:val="0"/>
              <w:keepLines w:val="0"/>
              <w:pageBreakBefore w:val="0"/>
              <w:widowControl w:val="0"/>
              <w:kinsoku/>
              <w:wordWrap/>
              <w:overflowPunct/>
              <w:topLinePunct w:val="0"/>
              <w:autoSpaceDE/>
              <w:autoSpaceDN/>
              <w:bidi w:val="0"/>
              <w:adjustRightInd/>
              <w:snapToGrid/>
              <w:ind w:left="0" w:firstLine="0" w:firstLineChars="0"/>
              <w:jc w:val="center"/>
              <w:textAlignment w:val="auto"/>
              <w:rPr>
                <w:rFonts w:hint="eastAsia" w:ascii="仿宋_GB2312" w:hAnsi="仿宋_GB2312" w:eastAsia="仿宋_GB2312" w:cs="仿宋_GB2312"/>
                <w:color w:val="auto"/>
                <w:sz w:val="24"/>
                <w:highlight w:val="none"/>
                <w:lang w:val="en-US" w:eastAsia="zh-CN" w:bidi="ar"/>
              </w:rPr>
            </w:pPr>
            <w:r>
              <w:rPr>
                <w:rFonts w:hint="eastAsia" w:ascii="仿宋_GB2312" w:hAnsi="仿宋_GB2312" w:eastAsia="仿宋_GB2312" w:cs="仿宋_GB2312"/>
                <w:color w:val="auto"/>
                <w:sz w:val="24"/>
                <w:highlight w:val="none"/>
                <w:lang w:val="en-US" w:eastAsia="zh-CN" w:bidi="ar"/>
              </w:rPr>
              <w:t>讲师</w:t>
            </w:r>
          </w:p>
        </w:tc>
        <w:tc>
          <w:tcPr>
            <w:tcW w:w="1063" w:type="pct"/>
            <w:tcBorders>
              <w:top w:val="single" w:color="000000" w:sz="2" w:space="0"/>
              <w:left w:val="single" w:color="auto" w:sz="4" w:space="0"/>
              <w:bottom w:val="single" w:color="auto" w:sz="4" w:space="0"/>
              <w:right w:val="single" w:color="auto" w:sz="4" w:space="0"/>
            </w:tcBorders>
            <w:shd w:val="clear" w:color="auto" w:fill="auto"/>
            <w:vAlign w:val="center"/>
          </w:tcPr>
          <w:p w14:paraId="653FD661">
            <w:pPr>
              <w:keepNext w:val="0"/>
              <w:keepLines w:val="0"/>
              <w:pageBreakBefore w:val="0"/>
              <w:widowControl w:val="0"/>
              <w:kinsoku/>
              <w:wordWrap/>
              <w:overflowPunct/>
              <w:topLinePunct w:val="0"/>
              <w:autoSpaceDE/>
              <w:autoSpaceDN/>
              <w:bidi w:val="0"/>
              <w:adjustRightInd/>
              <w:snapToGrid/>
              <w:ind w:left="0" w:firstLine="0" w:firstLineChars="0"/>
              <w:jc w:val="center"/>
              <w:textAlignment w:val="auto"/>
              <w:rPr>
                <w:rFonts w:hint="eastAsia" w:ascii="仿宋_GB2312" w:hAnsi="仿宋_GB2312" w:eastAsia="仿宋_GB2312" w:cs="仿宋_GB2312"/>
                <w:color w:val="auto"/>
                <w:sz w:val="24"/>
                <w:highlight w:val="none"/>
                <w:lang w:val="en-US" w:eastAsia="zh-CN" w:bidi="ar"/>
              </w:rPr>
            </w:pPr>
            <w:r>
              <w:rPr>
                <w:rFonts w:hint="eastAsia" w:ascii="仿宋_GB2312" w:hAnsi="仿宋_GB2312" w:eastAsia="仿宋_GB2312" w:cs="仿宋_GB2312"/>
                <w:color w:val="auto"/>
                <w:sz w:val="24"/>
                <w:highlight w:val="none"/>
                <w:lang w:val="en-US" w:eastAsia="zh-CN" w:bidi="ar"/>
              </w:rPr>
              <w:t>广西壮族自治区农业科学院</w:t>
            </w:r>
          </w:p>
        </w:tc>
        <w:tc>
          <w:tcPr>
            <w:tcW w:w="1919" w:type="pct"/>
            <w:tcBorders>
              <w:top w:val="single" w:color="auto" w:sz="4" w:space="0"/>
              <w:left w:val="single" w:color="auto" w:sz="4" w:space="0"/>
              <w:bottom w:val="single" w:color="auto" w:sz="4" w:space="0"/>
              <w:right w:val="single" w:color="auto" w:sz="4" w:space="0"/>
            </w:tcBorders>
            <w:vAlign w:val="center"/>
          </w:tcPr>
          <w:p w14:paraId="5E50CF9B">
            <w:pPr>
              <w:keepNext w:val="0"/>
              <w:keepLines w:val="0"/>
              <w:pageBreakBefore w:val="0"/>
              <w:widowControl w:val="0"/>
              <w:kinsoku/>
              <w:wordWrap/>
              <w:overflowPunct/>
              <w:topLinePunct w:val="0"/>
              <w:autoSpaceDE/>
              <w:autoSpaceDN/>
              <w:bidi w:val="0"/>
              <w:adjustRightInd/>
              <w:snapToGrid/>
              <w:ind w:left="0" w:firstLine="480" w:firstLineChars="200"/>
              <w:jc w:val="center"/>
              <w:textAlignment w:val="auto"/>
              <w:rPr>
                <w:rFonts w:hint="eastAsia" w:ascii="仿宋_GB2312" w:hAnsi="仿宋_GB2312" w:eastAsia="仿宋_GB2312" w:cs="仿宋_GB2312"/>
                <w:color w:val="auto"/>
                <w:sz w:val="24"/>
                <w:highlight w:val="none"/>
                <w:lang w:bidi="ar"/>
              </w:rPr>
            </w:pPr>
            <w:r>
              <w:rPr>
                <w:rFonts w:hint="eastAsia" w:ascii="仿宋_GB2312" w:hAnsi="仿宋_GB2312" w:eastAsia="仿宋_GB2312" w:cs="仿宋_GB2312"/>
                <w:color w:val="auto"/>
                <w:sz w:val="24"/>
                <w:highlight w:val="none"/>
                <w:lang w:bidi="ar"/>
              </w:rPr>
              <w:t>参与标准文本及编制说明的编写；组织开展标准征求意见会；对标准实施情况进行总结分析，不断对标准提出修正意见。</w:t>
            </w:r>
          </w:p>
        </w:tc>
      </w:tr>
    </w:tbl>
    <w:p w14:paraId="6BE1CEB3">
      <w:pPr>
        <w:keepNext w:val="0"/>
        <w:keepLines w:val="0"/>
        <w:pageBreakBefore w:val="0"/>
        <w:kinsoku/>
        <w:overflowPunct/>
        <w:topLinePunct w:val="0"/>
        <w:autoSpaceDE w:val="0"/>
        <w:autoSpaceDN w:val="0"/>
        <w:bidi w:val="0"/>
        <w:adjustRightInd w:val="0"/>
        <w:snapToGrid/>
        <w:spacing w:line="560" w:lineRule="exact"/>
        <w:ind w:left="0" w:firstLine="640" w:firstLineChars="200"/>
        <w:jc w:val="left"/>
        <w:textAlignment w:val="auto"/>
        <w:rPr>
          <w:rFonts w:ascii="黑体" w:hAnsi="黑体" w:eastAsia="黑体" w:cs="仿宋_GB2312"/>
          <w:color w:val="auto"/>
          <w:sz w:val="32"/>
          <w:szCs w:val="32"/>
          <w:highlight w:val="none"/>
        </w:rPr>
      </w:pPr>
      <w:r>
        <w:rPr>
          <w:rFonts w:hint="eastAsia" w:ascii="黑体" w:hAnsi="黑体" w:eastAsia="黑体" w:cs="仿宋_GB2312"/>
          <w:color w:val="auto"/>
          <w:sz w:val="32"/>
          <w:szCs w:val="32"/>
          <w:highlight w:val="none"/>
        </w:rPr>
        <w:t>二、制定标准的必要性和意义</w:t>
      </w:r>
    </w:p>
    <w:p w14:paraId="63FD64B2">
      <w:pPr>
        <w:keepNext w:val="0"/>
        <w:keepLines w:val="0"/>
        <w:pageBreakBefore w:val="0"/>
        <w:kinsoku/>
        <w:overflowPunct/>
        <w:topLinePunct w:val="0"/>
        <w:autoSpaceDE w:val="0"/>
        <w:autoSpaceDN w:val="0"/>
        <w:bidi w:val="0"/>
        <w:adjustRightInd w:val="0"/>
        <w:snapToGrid/>
        <w:spacing w:line="560" w:lineRule="exact"/>
        <w:ind w:left="0" w:firstLine="640" w:firstLineChars="200"/>
        <w:textAlignment w:val="auto"/>
        <w:rPr>
          <w:rFonts w:hint="eastAsia" w:ascii="仿宋_GB2312" w:hAnsi="宋体" w:eastAsia="仿宋_GB2312"/>
          <w:color w:val="auto"/>
          <w:sz w:val="32"/>
          <w:szCs w:val="28"/>
          <w:highlight w:val="none"/>
        </w:rPr>
      </w:pPr>
      <w:r>
        <w:rPr>
          <w:rFonts w:hint="eastAsia" w:ascii="仿宋_GB2312" w:hAnsi="宋体" w:eastAsia="仿宋_GB2312"/>
          <w:color w:val="auto"/>
          <w:sz w:val="32"/>
          <w:szCs w:val="28"/>
          <w:highlight w:val="none"/>
        </w:rPr>
        <w:t>甘蔗是世界各国制糖的重要原料之一，全世界每年生产的蔗糖约有70%来源于甘蔗。全世界有超过100多个国家种植甘蔗，全球的种植面积达到了1900万公顷，其中中国、巴西和印度是主要的甘蔗种植大国。中国种植的甘蔗大多为中国种和热带种。热带种按其用途又可分为糖蔗和果蔗两种。果蔗由于其皮软，纤维含量相对较少，汁多味美，深受蔗农和消费者的喜爱；糖蔗由于皮硬，纤维成分高，不适合食用，但是由于其丰富的糖含量，成为制糖工业的主要原料之一。根据2025年10月中国农产品供需形势分析，2024/25年度中国食糖产销结束，累计产糖1116万吨，较上年度增加120万吨；食糖年度均价为每吨5993元，比上年度每吨跌498元，跌幅7.7%；国际原糖年度均价为每磅18.58美分，比上年度每磅下跌3.1美分，跌幅14.3%。</w:t>
      </w:r>
    </w:p>
    <w:p w14:paraId="343C7B3C">
      <w:pPr>
        <w:keepNext w:val="0"/>
        <w:keepLines w:val="0"/>
        <w:pageBreakBefore w:val="0"/>
        <w:kinsoku/>
        <w:overflowPunct/>
        <w:topLinePunct w:val="0"/>
        <w:autoSpaceDE w:val="0"/>
        <w:autoSpaceDN w:val="0"/>
        <w:bidi w:val="0"/>
        <w:adjustRightInd w:val="0"/>
        <w:snapToGrid/>
        <w:spacing w:line="560" w:lineRule="exact"/>
        <w:ind w:left="0" w:firstLine="640" w:firstLineChars="200"/>
        <w:textAlignment w:val="auto"/>
        <w:rPr>
          <w:rFonts w:hint="eastAsia" w:ascii="仿宋_GB2312" w:hAnsi="宋体" w:eastAsia="仿宋_GB2312"/>
          <w:color w:val="auto"/>
          <w:sz w:val="32"/>
          <w:szCs w:val="28"/>
          <w:highlight w:val="none"/>
        </w:rPr>
      </w:pPr>
      <w:r>
        <w:rPr>
          <w:rFonts w:hint="eastAsia" w:ascii="仿宋_GB2312" w:hAnsi="宋体" w:eastAsia="仿宋_GB2312"/>
          <w:color w:val="auto"/>
          <w:sz w:val="32"/>
          <w:szCs w:val="28"/>
          <w:highlight w:val="none"/>
        </w:rPr>
        <w:t>中国最大的甘蔗和食糖生产中心位于广西，其甘蔗种植面积、产量以及所生产的食糖产量均占全国的60%以上。广西2023年启动实施新一轮糖料蔗良种良法技术推广政策，对脱毒种苗和健康种苗新植蔗实行差异化补贴，完成脱毒健康种苗新植面积约353万亩。对接收联合机收蔗的糖企按机收量与入榨量占比给予差异化补贴，试点推广糖料蔗“田间砍运—集中切割除杂—进厂压榨”的分步式机收作业模式，全区糖料蔗生产综合机械化率70.8%。支持糖企建设糖料蔗自营基地，全区规模化经营总面积283万亩。2020～2022年，全区糖料蔗种植面积分别为1115万亩、1106万亩、1120万亩，遏制住了从2013年至2019年平均每年下滑78万亩的不利势头，基本稳定在1100万亩以上。同时，通过积极稳妥开展糖料蔗购销市场改革、完成500万亩“双高”基地建设，大力推进种植良种化等工作促进蔗农增收，农民种蔗直接收入基本稳定在250亿元左右，其中2021/2022年榨季259.62亿元，同比增长1.44%。2023/2024年榨季，广西糖料蔗产业种植面积1124万亩，预计糖料蔗产量4900万吨，食糖产量稳定在600万吨左右，糖料蔗种植面积和食糖产量将连续33个榨季位居全国第一。</w:t>
      </w:r>
    </w:p>
    <w:p w14:paraId="5B426AB9">
      <w:pPr>
        <w:keepNext w:val="0"/>
        <w:keepLines w:val="0"/>
        <w:pageBreakBefore w:val="0"/>
        <w:kinsoku/>
        <w:overflowPunct/>
        <w:topLinePunct w:val="0"/>
        <w:autoSpaceDE w:val="0"/>
        <w:autoSpaceDN w:val="0"/>
        <w:bidi w:val="0"/>
        <w:adjustRightInd w:val="0"/>
        <w:snapToGrid/>
        <w:spacing w:line="560" w:lineRule="exact"/>
        <w:ind w:left="0" w:firstLine="640" w:firstLineChars="200"/>
        <w:textAlignment w:val="auto"/>
        <w:rPr>
          <w:rFonts w:hint="eastAsia" w:ascii="仿宋_GB2312" w:hAnsi="宋体" w:eastAsia="仿宋_GB2312"/>
          <w:color w:val="auto"/>
          <w:sz w:val="32"/>
          <w:szCs w:val="28"/>
          <w:highlight w:val="none"/>
        </w:rPr>
      </w:pPr>
      <w:r>
        <w:rPr>
          <w:rFonts w:hint="eastAsia" w:ascii="仿宋_GB2312" w:hAnsi="宋体" w:eastAsia="仿宋_GB2312"/>
          <w:color w:val="auto"/>
          <w:sz w:val="32"/>
          <w:szCs w:val="28"/>
          <w:highlight w:val="none"/>
        </w:rPr>
        <w:t>糖料蔗单芽段是一项正被推广的甘蔗种植技术，旨在节约蔗种、提升效益并推动机械化种植。传统方式下，一亩地的蔗种需要消耗约一吨甘蔗。单芽段技术通过抠芽育苗，大幅减少了留种所需的蔗茎，使更多甘蔗能用于榨糖，直接提升了种植收益。研究数据表明，甘蔗单芽段种茎处理在新植蔗的出苗率、分蘖率等关键指标上，均极显著高于双芽段处理。这为后续的甘蔗高产打下了坚实的基础。而且单芽段种茎更易于实现标准化切种和处理，也为机械精量种植创造了条件，有助于提升甘蔗生产的机械化水平和整体效率。单芽种茎与双芽段种茎相比有以下特点：生长一致，整齐度高；充分发挥单株生产潜力，早生快发，形成壮苗，有利于协调植株生长发育与环境条件、营养生长与生殖生长、群体与个体的关系，有利于建立合理的群体结构；分蘖多，每株分蘖3-5株，分蘖健壮，成茎率高；用种量少，亩用种量约2000-3000芽；单芽茎短小，储存运输方便，机械种植效率高。不足之处是不耐贮存，时间长影响发芽。种植必须有水的保障，苗期要加强精细化的管理，施足基肥、分蘖时加强水肥管理促进分蘖成茎，提高成茎率，增加有效茎。</w:t>
      </w:r>
    </w:p>
    <w:p w14:paraId="4BA822C3">
      <w:pPr>
        <w:keepNext w:val="0"/>
        <w:keepLines w:val="0"/>
        <w:pageBreakBefore w:val="0"/>
        <w:kinsoku/>
        <w:overflowPunct/>
        <w:topLinePunct w:val="0"/>
        <w:autoSpaceDE w:val="0"/>
        <w:autoSpaceDN w:val="0"/>
        <w:bidi w:val="0"/>
        <w:adjustRightInd w:val="0"/>
        <w:snapToGrid/>
        <w:spacing w:line="560" w:lineRule="exact"/>
        <w:ind w:left="0" w:firstLine="640" w:firstLineChars="200"/>
        <w:textAlignment w:val="auto"/>
        <w:rPr>
          <w:rFonts w:hint="eastAsia" w:ascii="仿宋_GB2312" w:hAnsi="宋体" w:eastAsia="仿宋_GB2312"/>
          <w:color w:val="auto"/>
          <w:sz w:val="32"/>
          <w:szCs w:val="28"/>
          <w:highlight w:val="none"/>
        </w:rPr>
      </w:pPr>
      <w:r>
        <w:rPr>
          <w:rFonts w:hint="eastAsia" w:ascii="仿宋_GB2312" w:hAnsi="宋体" w:eastAsia="仿宋_GB2312"/>
          <w:color w:val="auto"/>
          <w:sz w:val="32"/>
          <w:szCs w:val="28"/>
          <w:highlight w:val="none"/>
        </w:rPr>
        <w:t>单芽苗和双芽段种茎栽培上相比：用量少，亩用种量约1000-1500株，为种植户节约70%以上的甘蔗用量；生发快，种植到大田后能暴发性生长，比传统的双芽段种植快1-2月达成足够的分蘖；分蘖多且壮。每株分蘖3-5株，分蘖健壮，成茎率高；整齐度高，株距均匀，生长一致，整齐度好，真正实现足群体、壮个体；成活率高，不易断垄；足群体，壮个体，早生快发，成茎率高，整齐度高，更易达成高产量。</w:t>
      </w:r>
    </w:p>
    <w:p w14:paraId="2ABD0B23">
      <w:pPr>
        <w:keepNext w:val="0"/>
        <w:keepLines w:val="0"/>
        <w:pageBreakBefore w:val="0"/>
        <w:kinsoku/>
        <w:overflowPunct/>
        <w:topLinePunct w:val="0"/>
        <w:autoSpaceDE w:val="0"/>
        <w:autoSpaceDN w:val="0"/>
        <w:bidi w:val="0"/>
        <w:adjustRightInd w:val="0"/>
        <w:snapToGrid/>
        <w:spacing w:line="560" w:lineRule="exact"/>
        <w:ind w:left="0" w:firstLine="640" w:firstLineChars="200"/>
        <w:textAlignment w:val="auto"/>
        <w:rPr>
          <w:rFonts w:hint="eastAsia" w:ascii="仿宋_GB2312" w:hAnsi="宋体" w:eastAsia="仿宋_GB2312"/>
          <w:color w:val="auto"/>
          <w:sz w:val="32"/>
          <w:szCs w:val="28"/>
          <w:highlight w:val="none"/>
        </w:rPr>
      </w:pPr>
      <w:r>
        <w:rPr>
          <w:rFonts w:hint="eastAsia" w:ascii="仿宋_GB2312" w:hAnsi="宋体" w:eastAsia="仿宋_GB2312"/>
          <w:color w:val="auto"/>
          <w:sz w:val="32"/>
          <w:szCs w:val="28"/>
          <w:highlight w:val="none"/>
        </w:rPr>
        <w:t>然而单芽苗对水要求严格，必须有滴灌或灌溉条件，定植要求高。广西很多蔗田位于坡地和丘陵山区，地块规模小、不规则，并且许多地块尚未进行宜机化改造。而且目前对于单芽段机械化栽培的技术要求尚未有统一要求，推广应用过程效果不佳，难以发挥单芽段机械化栽培的优势，要实现高效的机械化种植和收获，需要配套统一的农艺标准。</w:t>
      </w:r>
    </w:p>
    <w:p w14:paraId="7A493052">
      <w:pPr>
        <w:keepNext w:val="0"/>
        <w:keepLines w:val="0"/>
        <w:pageBreakBefore w:val="0"/>
        <w:kinsoku/>
        <w:overflowPunct/>
        <w:topLinePunct w:val="0"/>
        <w:autoSpaceDE w:val="0"/>
        <w:autoSpaceDN w:val="0"/>
        <w:bidi w:val="0"/>
        <w:adjustRightInd w:val="0"/>
        <w:snapToGrid/>
        <w:spacing w:line="560" w:lineRule="exact"/>
        <w:ind w:left="0" w:firstLine="640" w:firstLineChars="200"/>
        <w:textAlignment w:val="auto"/>
        <w:rPr>
          <w:rFonts w:ascii="仿宋_GB2312" w:hAnsi="宋体" w:eastAsia="仿宋_GB2312"/>
          <w:color w:val="auto"/>
          <w:sz w:val="32"/>
          <w:szCs w:val="28"/>
          <w:highlight w:val="none"/>
        </w:rPr>
      </w:pPr>
      <w:r>
        <w:rPr>
          <w:rFonts w:hint="eastAsia" w:ascii="仿宋_GB2312" w:hAnsi="宋体" w:eastAsia="仿宋_GB2312"/>
          <w:color w:val="auto"/>
          <w:sz w:val="32"/>
          <w:szCs w:val="28"/>
          <w:highlight w:val="none"/>
        </w:rPr>
        <w:t>因此，有必要制定高质量团体标准《糖料蔗单芽种茎(苗)机械化栽培技术规程》，以标准为抓手，统一规范糖料蔗单芽段机械化栽培技术要求，提高糖料蔗种植效率和质量，促进糖料蔗产业高质量发展。</w:t>
      </w:r>
    </w:p>
    <w:p w14:paraId="64CFA7EF">
      <w:pPr>
        <w:keepNext w:val="0"/>
        <w:keepLines w:val="0"/>
        <w:pageBreakBefore w:val="0"/>
        <w:kinsoku/>
        <w:overflowPunct/>
        <w:topLinePunct w:val="0"/>
        <w:autoSpaceDE w:val="0"/>
        <w:autoSpaceDN w:val="0"/>
        <w:bidi w:val="0"/>
        <w:adjustRightInd w:val="0"/>
        <w:snapToGrid/>
        <w:spacing w:line="560" w:lineRule="exact"/>
        <w:ind w:left="0" w:firstLine="640" w:firstLineChars="200"/>
        <w:jc w:val="left"/>
        <w:textAlignment w:val="auto"/>
        <w:rPr>
          <w:rFonts w:ascii="黑体" w:hAnsi="黑体" w:eastAsia="黑体" w:cs="仿宋_GB2312"/>
          <w:color w:val="auto"/>
          <w:sz w:val="32"/>
          <w:szCs w:val="32"/>
          <w:highlight w:val="none"/>
        </w:rPr>
      </w:pPr>
      <w:r>
        <w:rPr>
          <w:rFonts w:hint="eastAsia" w:ascii="黑体" w:hAnsi="黑体" w:eastAsia="黑体" w:cs="仿宋_GB2312"/>
          <w:color w:val="auto"/>
          <w:sz w:val="32"/>
          <w:szCs w:val="32"/>
          <w:highlight w:val="none"/>
        </w:rPr>
        <w:t>三、主要起草过程</w:t>
      </w:r>
    </w:p>
    <w:p w14:paraId="0D6A5644">
      <w:pPr>
        <w:keepNext w:val="0"/>
        <w:keepLines w:val="0"/>
        <w:pageBreakBefore w:val="0"/>
        <w:kinsoku/>
        <w:overflowPunct/>
        <w:topLinePunct w:val="0"/>
        <w:bidi w:val="0"/>
        <w:snapToGrid/>
        <w:spacing w:line="560" w:lineRule="exact"/>
        <w:ind w:left="0" w:firstLine="643" w:firstLineChars="200"/>
        <w:textAlignment w:val="auto"/>
        <w:rPr>
          <w:rFonts w:ascii="楷体" w:hAnsi="楷体" w:eastAsia="楷体"/>
          <w:color w:val="auto"/>
          <w:sz w:val="32"/>
          <w:szCs w:val="28"/>
          <w:highlight w:val="none"/>
        </w:rPr>
      </w:pPr>
      <w:r>
        <w:rPr>
          <w:rFonts w:hint="eastAsia" w:ascii="楷体" w:hAnsi="楷体" w:eastAsia="楷体" w:cs="仿宋_GB2312"/>
          <w:b/>
          <w:color w:val="auto"/>
          <w:sz w:val="32"/>
          <w:szCs w:val="28"/>
          <w:highlight w:val="none"/>
        </w:rPr>
        <w:t>（一）成立标准编制工作组</w:t>
      </w:r>
    </w:p>
    <w:p w14:paraId="437C2B65">
      <w:pPr>
        <w:keepNext w:val="0"/>
        <w:keepLines w:val="0"/>
        <w:pageBreakBefore w:val="0"/>
        <w:kinsoku/>
        <w:overflowPunct/>
        <w:topLinePunct w:val="0"/>
        <w:bidi w:val="0"/>
        <w:snapToGrid/>
        <w:ind w:left="0" w:firstLine="640" w:firstLineChars="200"/>
        <w:textAlignment w:val="auto"/>
        <w:rPr>
          <w:rFonts w:ascii="仿宋_GB2312" w:hAnsi="宋体" w:eastAsia="仿宋_GB2312"/>
          <w:color w:val="auto"/>
          <w:sz w:val="32"/>
          <w:szCs w:val="28"/>
          <w:highlight w:val="none"/>
        </w:rPr>
      </w:pPr>
      <w:r>
        <w:rPr>
          <w:rFonts w:hint="eastAsia" w:ascii="仿宋_GB2312" w:hAnsi="宋体" w:eastAsia="仿宋_GB2312"/>
          <w:color w:val="auto"/>
          <w:sz w:val="32"/>
          <w:szCs w:val="28"/>
          <w:highlight w:val="none"/>
        </w:rPr>
        <w:t>团体标准《糖料蔗单芽种茎(苗)机械化栽培技术规程》项目任务下达后，</w:t>
      </w:r>
      <w:r>
        <w:rPr>
          <w:rFonts w:hint="eastAsia" w:ascii="仿宋_GB2312" w:hAnsi="宋体"/>
          <w:color w:val="auto"/>
          <w:sz w:val="32"/>
          <w:szCs w:val="28"/>
          <w:highlight w:val="none"/>
          <w:lang w:val="en-US" w:eastAsia="zh-CN"/>
        </w:rPr>
        <w:t>广西壮族自治区农业科学院</w:t>
      </w:r>
      <w:r>
        <w:rPr>
          <w:rFonts w:hint="eastAsia" w:ascii="仿宋_GB2312" w:hAnsi="宋体" w:eastAsia="仿宋_GB2312"/>
          <w:color w:val="auto"/>
          <w:sz w:val="32"/>
          <w:szCs w:val="28"/>
          <w:highlight w:val="none"/>
        </w:rPr>
        <w:t>成立了标准编制工作组，</w:t>
      </w:r>
      <w:r>
        <w:rPr>
          <w:rFonts w:hint="eastAsia" w:ascii="仿宋_GB2312" w:hAnsi="宋体"/>
          <w:color w:val="auto"/>
          <w:sz w:val="32"/>
          <w:szCs w:val="28"/>
          <w:highlight w:val="none"/>
          <w:lang w:val="en-US" w:eastAsia="zh-CN"/>
        </w:rPr>
        <w:t>并</w:t>
      </w:r>
      <w:r>
        <w:rPr>
          <w:rFonts w:hint="eastAsia" w:ascii="仿宋_GB2312" w:hAnsi="宋体" w:eastAsia="仿宋_GB2312"/>
          <w:color w:val="auto"/>
          <w:sz w:val="32"/>
          <w:szCs w:val="28"/>
          <w:highlight w:val="none"/>
        </w:rPr>
        <w:t>制定了起草编写方案与进度安排，明确任务职责，确定工作技术路线，开展标准研制工作。具体标准编制工作由</w:t>
      </w:r>
      <w:r>
        <w:rPr>
          <w:rFonts w:hint="eastAsia" w:ascii="仿宋_GB2312" w:hAnsi="宋体"/>
          <w:color w:val="auto"/>
          <w:sz w:val="32"/>
          <w:szCs w:val="28"/>
          <w:highlight w:val="none"/>
          <w:lang w:val="en-US" w:eastAsia="zh-CN"/>
        </w:rPr>
        <w:t>广西壮族自治区农业科学院、广西益兴现代农业科技发展有限公司、广西武宣县博盛农机专业合作社、广西沛雨农业发展有限公司</w:t>
      </w:r>
      <w:r>
        <w:rPr>
          <w:rFonts w:hint="eastAsia" w:ascii="仿宋_GB2312" w:hAnsi="宋体" w:eastAsia="仿宋_GB2312"/>
          <w:color w:val="auto"/>
          <w:sz w:val="32"/>
          <w:szCs w:val="28"/>
          <w:highlight w:val="none"/>
        </w:rPr>
        <w:t>等单位负责人组成的标准编制工作组完成。</w:t>
      </w:r>
    </w:p>
    <w:p w14:paraId="0D99A07B">
      <w:pPr>
        <w:keepNext w:val="0"/>
        <w:keepLines w:val="0"/>
        <w:pageBreakBefore w:val="0"/>
        <w:kinsoku/>
        <w:overflowPunct/>
        <w:topLinePunct w:val="0"/>
        <w:bidi w:val="0"/>
        <w:snapToGrid/>
        <w:ind w:left="0" w:firstLine="640" w:firstLineChars="200"/>
        <w:textAlignment w:val="auto"/>
        <w:rPr>
          <w:rFonts w:ascii="仿宋_GB2312" w:hAnsi="宋体" w:eastAsia="仿宋_GB2312"/>
          <w:color w:val="auto"/>
          <w:sz w:val="32"/>
          <w:szCs w:val="28"/>
          <w:highlight w:val="none"/>
        </w:rPr>
      </w:pPr>
      <w:r>
        <w:rPr>
          <w:rFonts w:hint="eastAsia" w:ascii="仿宋_GB2312" w:hAnsi="宋体" w:eastAsia="仿宋_GB2312"/>
          <w:color w:val="auto"/>
          <w:sz w:val="32"/>
          <w:szCs w:val="28"/>
          <w:highlight w:val="none"/>
        </w:rPr>
        <w:t>编制工作组下设三个组，分别是资料收集组、草案编写组、标准实施组。</w:t>
      </w:r>
    </w:p>
    <w:p w14:paraId="59AE398B">
      <w:pPr>
        <w:keepNext w:val="0"/>
        <w:keepLines w:val="0"/>
        <w:pageBreakBefore w:val="0"/>
        <w:kinsoku/>
        <w:overflowPunct/>
        <w:topLinePunct w:val="0"/>
        <w:bidi w:val="0"/>
        <w:snapToGrid/>
        <w:ind w:left="0" w:firstLine="640" w:firstLineChars="200"/>
        <w:textAlignment w:val="auto"/>
        <w:rPr>
          <w:rFonts w:ascii="仿宋_GB2312" w:hAnsi="宋体" w:eastAsia="仿宋_GB2312"/>
          <w:color w:val="auto"/>
          <w:sz w:val="32"/>
          <w:szCs w:val="28"/>
          <w:highlight w:val="none"/>
        </w:rPr>
      </w:pPr>
      <w:r>
        <w:rPr>
          <w:rFonts w:hint="eastAsia" w:ascii="仿宋_GB2312" w:hAnsi="宋体" w:eastAsia="仿宋_GB2312"/>
          <w:color w:val="auto"/>
          <w:sz w:val="32"/>
          <w:szCs w:val="28"/>
          <w:highlight w:val="none"/>
        </w:rPr>
        <w:t>资料收集组负责国内外有关糖料蔗单芽种茎(苗)机械化栽培的文献资料的查询、收集和整理工作，查阅前人对糖料蔗单芽种茎(苗)机械化栽培的研究情况。</w:t>
      </w:r>
    </w:p>
    <w:p w14:paraId="0BE25F71">
      <w:pPr>
        <w:keepNext w:val="0"/>
        <w:keepLines w:val="0"/>
        <w:pageBreakBefore w:val="0"/>
        <w:kinsoku/>
        <w:overflowPunct/>
        <w:topLinePunct w:val="0"/>
        <w:bidi w:val="0"/>
        <w:snapToGrid/>
        <w:ind w:left="0" w:firstLine="640" w:firstLineChars="200"/>
        <w:textAlignment w:val="auto"/>
        <w:rPr>
          <w:rFonts w:ascii="仿宋_GB2312" w:hAnsi="宋体" w:eastAsia="仿宋_GB2312"/>
          <w:color w:val="auto"/>
          <w:sz w:val="32"/>
          <w:szCs w:val="28"/>
          <w:highlight w:val="none"/>
        </w:rPr>
      </w:pPr>
      <w:r>
        <w:rPr>
          <w:rFonts w:hint="eastAsia" w:ascii="仿宋_GB2312" w:hAnsi="宋体" w:eastAsia="仿宋_GB2312"/>
          <w:color w:val="auto"/>
          <w:sz w:val="32"/>
          <w:szCs w:val="28"/>
          <w:highlight w:val="none"/>
        </w:rPr>
        <w:t>草案编写组负责起草标准草案、征求意见稿和标准编制说明、送审稿及编制说明的编写工作，包括后期召开征求意见会、网上征求意见，以及标准的不断修改和完善。</w:t>
      </w:r>
    </w:p>
    <w:p w14:paraId="067432A5">
      <w:pPr>
        <w:keepNext w:val="0"/>
        <w:keepLines w:val="0"/>
        <w:pageBreakBefore w:val="0"/>
        <w:kinsoku/>
        <w:overflowPunct/>
        <w:topLinePunct w:val="0"/>
        <w:bidi w:val="0"/>
        <w:snapToGrid/>
        <w:ind w:left="0" w:firstLine="640" w:firstLineChars="200"/>
        <w:textAlignment w:val="auto"/>
        <w:rPr>
          <w:rFonts w:ascii="仿宋_GB2312" w:hAnsi="宋体" w:eastAsia="仿宋_GB2312"/>
          <w:color w:val="auto"/>
          <w:sz w:val="32"/>
          <w:szCs w:val="28"/>
          <w:highlight w:val="none"/>
        </w:rPr>
      </w:pPr>
      <w:r>
        <w:rPr>
          <w:rFonts w:hint="eastAsia" w:ascii="仿宋_GB2312" w:hAnsi="宋体" w:eastAsia="仿宋_GB2312"/>
          <w:color w:val="auto"/>
          <w:sz w:val="32"/>
          <w:szCs w:val="28"/>
          <w:highlight w:val="none"/>
        </w:rPr>
        <w:t>标准实施组负责团体标准《糖料蔗单芽种茎(苗)机械化栽培</w:t>
      </w:r>
      <w:r>
        <w:rPr>
          <w:rFonts w:hint="eastAsia" w:ascii="仿宋_GB2312" w:hAnsi="宋体"/>
          <w:color w:val="auto"/>
          <w:sz w:val="32"/>
          <w:szCs w:val="28"/>
          <w:highlight w:val="none"/>
          <w:lang w:val="en-US" w:eastAsia="zh-CN"/>
        </w:rPr>
        <w:t>技术规程</w:t>
      </w:r>
      <w:r>
        <w:rPr>
          <w:rFonts w:hint="eastAsia" w:ascii="仿宋_GB2312" w:hAnsi="宋体" w:eastAsia="仿宋_GB2312"/>
          <w:color w:val="auto"/>
          <w:sz w:val="32"/>
          <w:szCs w:val="28"/>
          <w:highlight w:val="none"/>
        </w:rPr>
        <w:t>》发布后，组织相关企事业单位开展标准宣贯培训会，对标准进行详细解读，让相关人员了解标准，并根据标准对糖料蔗单芽种茎(苗)机械化栽培进行规范化操作，并对标准实施情况进行总结分析，不断对团体标准提出修正意见。</w:t>
      </w:r>
    </w:p>
    <w:p w14:paraId="32C78715">
      <w:pPr>
        <w:keepNext w:val="0"/>
        <w:keepLines w:val="0"/>
        <w:pageBreakBefore w:val="0"/>
        <w:kinsoku/>
        <w:overflowPunct/>
        <w:topLinePunct w:val="0"/>
        <w:bidi w:val="0"/>
        <w:snapToGrid/>
        <w:spacing w:line="560" w:lineRule="exact"/>
        <w:ind w:left="0" w:firstLine="643" w:firstLineChars="200"/>
        <w:textAlignment w:val="auto"/>
        <w:rPr>
          <w:rFonts w:ascii="楷体" w:hAnsi="楷体" w:eastAsia="楷体" w:cs="仿宋_GB2312"/>
          <w:b/>
          <w:color w:val="auto"/>
          <w:sz w:val="32"/>
          <w:szCs w:val="28"/>
          <w:highlight w:val="none"/>
        </w:rPr>
      </w:pPr>
      <w:r>
        <w:rPr>
          <w:rFonts w:hint="eastAsia" w:ascii="楷体" w:hAnsi="楷体" w:eastAsia="楷体" w:cs="仿宋_GB2312"/>
          <w:b/>
          <w:color w:val="auto"/>
          <w:sz w:val="32"/>
          <w:szCs w:val="28"/>
          <w:highlight w:val="none"/>
        </w:rPr>
        <w:t>（二）收集整理文献资料</w:t>
      </w:r>
    </w:p>
    <w:p w14:paraId="703511E4">
      <w:pPr>
        <w:keepNext w:val="0"/>
        <w:keepLines w:val="0"/>
        <w:pageBreakBefore w:val="0"/>
        <w:kinsoku/>
        <w:overflowPunct/>
        <w:topLinePunct w:val="0"/>
        <w:bidi w:val="0"/>
        <w:snapToGrid/>
        <w:ind w:left="0" w:firstLine="640" w:firstLineChars="200"/>
        <w:textAlignment w:val="auto"/>
        <w:rPr>
          <w:rFonts w:hint="eastAsia" w:ascii="仿宋_GB2312" w:hAnsi="宋体" w:eastAsia="仿宋_GB2312"/>
          <w:color w:val="auto"/>
          <w:sz w:val="32"/>
          <w:szCs w:val="28"/>
          <w:highlight w:val="none"/>
        </w:rPr>
      </w:pPr>
      <w:r>
        <w:rPr>
          <w:rFonts w:hint="eastAsia" w:ascii="仿宋_GB2312" w:hAnsi="宋体" w:eastAsia="仿宋_GB2312"/>
          <w:color w:val="auto"/>
          <w:sz w:val="32"/>
          <w:szCs w:val="28"/>
          <w:highlight w:val="none"/>
        </w:rPr>
        <w:t>标准编制工作组收集了国内与“糖料蔗</w:t>
      </w:r>
      <w:r>
        <w:rPr>
          <w:rFonts w:hint="eastAsia" w:ascii="仿宋_GB2312" w:hAnsi="宋体"/>
          <w:color w:val="auto"/>
          <w:sz w:val="32"/>
          <w:szCs w:val="28"/>
          <w:highlight w:val="none"/>
          <w:lang w:val="en-US" w:eastAsia="zh-CN"/>
        </w:rPr>
        <w:t>/甘蔗”“</w:t>
      </w:r>
      <w:r>
        <w:rPr>
          <w:rFonts w:hint="eastAsia" w:ascii="仿宋_GB2312" w:hAnsi="宋体" w:eastAsia="仿宋_GB2312"/>
          <w:color w:val="auto"/>
          <w:sz w:val="32"/>
          <w:szCs w:val="28"/>
          <w:highlight w:val="none"/>
        </w:rPr>
        <w:t>机械化</w:t>
      </w:r>
      <w:r>
        <w:rPr>
          <w:rFonts w:hint="eastAsia" w:ascii="仿宋_GB2312" w:hAnsi="宋体"/>
          <w:color w:val="auto"/>
          <w:sz w:val="32"/>
          <w:szCs w:val="28"/>
          <w:highlight w:val="none"/>
          <w:lang w:eastAsia="zh-CN"/>
        </w:rPr>
        <w:t>”“</w:t>
      </w:r>
      <w:r>
        <w:rPr>
          <w:rFonts w:hint="eastAsia" w:ascii="仿宋_GB2312" w:hAnsi="宋体" w:eastAsia="仿宋_GB2312"/>
          <w:color w:val="auto"/>
          <w:sz w:val="32"/>
          <w:szCs w:val="28"/>
          <w:highlight w:val="none"/>
        </w:rPr>
        <w:t>栽培</w:t>
      </w:r>
      <w:r>
        <w:rPr>
          <w:rFonts w:hint="eastAsia" w:ascii="仿宋_GB2312" w:hAnsi="宋体"/>
          <w:color w:val="auto"/>
          <w:sz w:val="32"/>
          <w:szCs w:val="28"/>
          <w:highlight w:val="none"/>
          <w:lang w:val="en-US" w:eastAsia="zh-CN"/>
        </w:rPr>
        <w:t>/</w:t>
      </w:r>
      <w:r>
        <w:rPr>
          <w:rFonts w:hint="eastAsia" w:ascii="仿宋_GB2312" w:hAnsi="宋体" w:eastAsia="仿宋_GB2312"/>
          <w:color w:val="auto"/>
          <w:sz w:val="32"/>
          <w:szCs w:val="28"/>
          <w:highlight w:val="none"/>
        </w:rPr>
        <w:t>种植”有关的标准</w:t>
      </w:r>
      <w:r>
        <w:rPr>
          <w:rFonts w:hint="eastAsia" w:ascii="仿宋_GB2312" w:hAnsi="宋体"/>
          <w:color w:val="auto"/>
          <w:sz w:val="32"/>
          <w:szCs w:val="28"/>
          <w:highlight w:val="none"/>
          <w:lang w:val="en-US" w:eastAsia="zh-CN"/>
        </w:rPr>
        <w:t>主要</w:t>
      </w:r>
      <w:r>
        <w:rPr>
          <w:rFonts w:hint="eastAsia" w:ascii="仿宋_GB2312" w:hAnsi="宋体" w:eastAsia="仿宋_GB2312"/>
          <w:color w:val="auto"/>
          <w:sz w:val="32"/>
          <w:szCs w:val="28"/>
          <w:highlight w:val="none"/>
        </w:rPr>
        <w:t>有：</w:t>
      </w:r>
    </w:p>
    <w:p w14:paraId="26A54827">
      <w:pPr>
        <w:pStyle w:val="35"/>
        <w:ind w:firstLine="420"/>
        <w:rPr>
          <w:rFonts w:hint="eastAsia" w:ascii="仿宋_GB2312" w:hAnsi="宋体" w:eastAsia="仿宋_GB2312" w:cs="Times New Roman"/>
          <w:color w:val="auto"/>
          <w:kern w:val="2"/>
          <w:sz w:val="32"/>
          <w:szCs w:val="28"/>
          <w:highlight w:val="none"/>
          <w:lang w:val="en-US" w:eastAsia="zh-CN" w:bidi="ar-SA"/>
        </w:rPr>
      </w:pPr>
      <w:r>
        <w:rPr>
          <w:rFonts w:hint="eastAsia" w:ascii="仿宋_GB2312" w:hAnsi="宋体" w:eastAsia="仿宋_GB2312" w:cs="Times New Roman"/>
          <w:color w:val="auto"/>
          <w:kern w:val="2"/>
          <w:sz w:val="32"/>
          <w:szCs w:val="28"/>
          <w:highlight w:val="none"/>
          <w:lang w:val="en-US" w:eastAsia="zh-CN" w:bidi="ar-SA"/>
        </w:rPr>
        <w:t>GB/T 19566-2025  旱地糖料甘蔗高产栽培技术规程</w:t>
      </w:r>
    </w:p>
    <w:p w14:paraId="2DCDCD32">
      <w:pPr>
        <w:pStyle w:val="35"/>
        <w:ind w:firstLine="420"/>
        <w:rPr>
          <w:rFonts w:hint="eastAsia" w:ascii="仿宋_GB2312" w:hAnsi="宋体" w:eastAsia="仿宋_GB2312" w:cs="Times New Roman"/>
          <w:color w:val="auto"/>
          <w:kern w:val="2"/>
          <w:sz w:val="32"/>
          <w:szCs w:val="28"/>
          <w:highlight w:val="none"/>
          <w:lang w:val="en-US" w:eastAsia="zh-CN" w:bidi="ar-SA"/>
        </w:rPr>
      </w:pPr>
      <w:r>
        <w:rPr>
          <w:rFonts w:hint="eastAsia" w:ascii="仿宋_GB2312" w:hAnsi="宋体" w:eastAsia="仿宋_GB2312" w:cs="Times New Roman"/>
          <w:color w:val="auto"/>
          <w:kern w:val="2"/>
          <w:sz w:val="32"/>
          <w:szCs w:val="28"/>
          <w:highlight w:val="none"/>
          <w:lang w:val="en-US" w:eastAsia="zh-CN" w:bidi="ar-SA"/>
        </w:rPr>
        <w:t>NY/T 3889-2021  甘蔗全程机械化生产技术规范</w:t>
      </w:r>
    </w:p>
    <w:p w14:paraId="34223019">
      <w:pPr>
        <w:pStyle w:val="35"/>
        <w:ind w:firstLine="420"/>
        <w:rPr>
          <w:rFonts w:hint="eastAsia" w:ascii="仿宋_GB2312" w:hAnsi="宋体" w:eastAsia="仿宋_GB2312" w:cs="Times New Roman"/>
          <w:color w:val="auto"/>
          <w:kern w:val="2"/>
          <w:sz w:val="32"/>
          <w:szCs w:val="28"/>
          <w:highlight w:val="none"/>
          <w:lang w:val="en-US" w:eastAsia="zh-CN" w:bidi="ar-SA"/>
        </w:rPr>
      </w:pPr>
      <w:r>
        <w:rPr>
          <w:rFonts w:hint="eastAsia" w:ascii="仿宋_GB2312" w:hAnsi="宋体" w:eastAsia="仿宋_GB2312" w:cs="Times New Roman"/>
          <w:color w:val="auto"/>
          <w:kern w:val="2"/>
          <w:sz w:val="32"/>
          <w:szCs w:val="28"/>
          <w:highlight w:val="none"/>
          <w:lang w:val="en-US" w:eastAsia="zh-CN" w:bidi="ar-SA"/>
        </w:rPr>
        <w:t>NY/T 1785-2009  甘蔗种茎生产技术规程</w:t>
      </w:r>
    </w:p>
    <w:p w14:paraId="2705AB6A">
      <w:pPr>
        <w:keepNext w:val="0"/>
        <w:keepLines w:val="0"/>
        <w:pageBreakBefore w:val="0"/>
        <w:kinsoku/>
        <w:overflowPunct/>
        <w:topLinePunct w:val="0"/>
        <w:bidi w:val="0"/>
        <w:snapToGrid/>
        <w:ind w:left="0" w:firstLine="640" w:firstLineChars="200"/>
        <w:textAlignment w:val="auto"/>
        <w:rPr>
          <w:rFonts w:hint="eastAsia" w:ascii="仿宋_GB2312" w:hAnsi="宋体" w:eastAsia="仿宋_GB2312"/>
          <w:color w:val="auto"/>
          <w:sz w:val="32"/>
          <w:szCs w:val="28"/>
          <w:highlight w:val="none"/>
        </w:rPr>
      </w:pPr>
      <w:r>
        <w:rPr>
          <w:rFonts w:hint="eastAsia" w:ascii="仿宋_GB2312" w:hAnsi="宋体" w:eastAsia="仿宋_GB2312"/>
          <w:color w:val="auto"/>
          <w:sz w:val="32"/>
          <w:szCs w:val="28"/>
          <w:highlight w:val="none"/>
        </w:rPr>
        <w:t>T/GXAS 624-2023  糖料蔗收后即管破垄施肥起垄一体化作业规范</w:t>
      </w:r>
    </w:p>
    <w:p w14:paraId="1D0C23B0">
      <w:pPr>
        <w:keepNext w:val="0"/>
        <w:keepLines w:val="0"/>
        <w:pageBreakBefore w:val="0"/>
        <w:kinsoku/>
        <w:overflowPunct/>
        <w:topLinePunct w:val="0"/>
        <w:bidi w:val="0"/>
        <w:snapToGrid/>
        <w:ind w:left="0" w:firstLine="640" w:firstLineChars="200"/>
        <w:textAlignment w:val="auto"/>
        <w:rPr>
          <w:rFonts w:hint="eastAsia" w:ascii="仿宋_GB2312" w:hAnsi="宋体" w:eastAsia="仿宋_GB2312"/>
          <w:color w:val="auto"/>
          <w:sz w:val="32"/>
          <w:szCs w:val="28"/>
          <w:highlight w:val="none"/>
        </w:rPr>
      </w:pPr>
      <w:r>
        <w:rPr>
          <w:rFonts w:hint="eastAsia" w:ascii="仿宋_GB2312" w:hAnsi="宋体" w:eastAsia="仿宋_GB2312"/>
          <w:color w:val="auto"/>
          <w:sz w:val="32"/>
          <w:szCs w:val="28"/>
          <w:highlight w:val="none"/>
        </w:rPr>
        <w:t>T/GXAF 0004-2021  糖料蔗化肥施用限量</w:t>
      </w:r>
    </w:p>
    <w:p w14:paraId="373342B9">
      <w:pPr>
        <w:keepNext w:val="0"/>
        <w:keepLines w:val="0"/>
        <w:pageBreakBefore w:val="0"/>
        <w:kinsoku/>
        <w:overflowPunct/>
        <w:topLinePunct w:val="0"/>
        <w:bidi w:val="0"/>
        <w:snapToGrid/>
        <w:ind w:left="0" w:firstLine="640" w:firstLineChars="200"/>
        <w:textAlignment w:val="auto"/>
        <w:rPr>
          <w:rFonts w:ascii="仿宋_GB2312" w:hAnsi="宋体" w:eastAsia="仿宋_GB2312"/>
          <w:color w:val="auto"/>
          <w:sz w:val="32"/>
          <w:szCs w:val="28"/>
          <w:highlight w:val="none"/>
        </w:rPr>
      </w:pPr>
      <w:r>
        <w:rPr>
          <w:rFonts w:hint="eastAsia" w:ascii="仿宋_GB2312" w:hAnsi="宋体" w:eastAsia="仿宋_GB2312"/>
          <w:color w:val="auto"/>
          <w:sz w:val="32"/>
          <w:szCs w:val="28"/>
          <w:highlight w:val="none"/>
        </w:rPr>
        <w:t>T/CAMA 39-2021  糖料蔗现代农场全程机械化生产技术规程</w:t>
      </w:r>
    </w:p>
    <w:p w14:paraId="44937C7D">
      <w:pPr>
        <w:keepNext w:val="0"/>
        <w:keepLines w:val="0"/>
        <w:pageBreakBefore w:val="0"/>
        <w:kinsoku/>
        <w:overflowPunct/>
        <w:topLinePunct w:val="0"/>
        <w:bidi w:val="0"/>
        <w:snapToGrid/>
        <w:spacing w:line="560" w:lineRule="exact"/>
        <w:ind w:left="0" w:firstLine="643" w:firstLineChars="200"/>
        <w:textAlignment w:val="auto"/>
        <w:rPr>
          <w:rFonts w:ascii="楷体" w:hAnsi="楷体" w:eastAsia="楷体" w:cs="仿宋_GB2312"/>
          <w:b/>
          <w:color w:val="auto"/>
          <w:sz w:val="32"/>
          <w:szCs w:val="28"/>
          <w:highlight w:val="none"/>
        </w:rPr>
      </w:pPr>
      <w:r>
        <w:rPr>
          <w:rFonts w:hint="eastAsia" w:ascii="楷体" w:hAnsi="楷体" w:eastAsia="楷体" w:cs="仿宋_GB2312"/>
          <w:b/>
          <w:color w:val="auto"/>
          <w:sz w:val="32"/>
          <w:szCs w:val="28"/>
          <w:highlight w:val="none"/>
        </w:rPr>
        <w:t>（三）研讨确定标准</w:t>
      </w:r>
      <w:r>
        <w:rPr>
          <w:rFonts w:hint="eastAsia" w:ascii="楷体" w:hAnsi="楷体" w:eastAsia="楷体" w:cs="仿宋_GB2312"/>
          <w:b/>
          <w:color w:val="auto"/>
          <w:sz w:val="32"/>
          <w:szCs w:val="28"/>
          <w:highlight w:val="none"/>
          <w:lang w:val="en-US" w:eastAsia="zh-CN"/>
        </w:rPr>
        <w:t>特色、创新点、</w:t>
      </w:r>
      <w:r>
        <w:rPr>
          <w:rFonts w:hint="eastAsia" w:ascii="楷体" w:hAnsi="楷体" w:eastAsia="楷体" w:cs="仿宋_GB2312"/>
          <w:b/>
          <w:color w:val="auto"/>
          <w:sz w:val="32"/>
          <w:szCs w:val="28"/>
          <w:highlight w:val="none"/>
        </w:rPr>
        <w:t>主体内容</w:t>
      </w:r>
    </w:p>
    <w:p w14:paraId="2963878A">
      <w:pPr>
        <w:keepNext w:val="0"/>
        <w:keepLines w:val="0"/>
        <w:pageBreakBefore w:val="0"/>
        <w:kinsoku/>
        <w:overflowPunct/>
        <w:topLinePunct w:val="0"/>
        <w:bidi w:val="0"/>
        <w:snapToGrid/>
        <w:ind w:left="0" w:firstLine="640" w:firstLineChars="200"/>
        <w:textAlignment w:val="auto"/>
        <w:rPr>
          <w:rFonts w:hint="eastAsia" w:ascii="仿宋_GB2312" w:hAnsi="宋体"/>
          <w:color w:val="auto"/>
          <w:sz w:val="32"/>
          <w:szCs w:val="28"/>
          <w:highlight w:val="none"/>
          <w:lang w:val="en-US" w:eastAsia="zh-CN"/>
        </w:rPr>
      </w:pPr>
      <w:r>
        <w:rPr>
          <w:rFonts w:hint="eastAsia" w:ascii="仿宋_GB2312" w:hAnsi="宋体"/>
          <w:color w:val="auto"/>
          <w:sz w:val="32"/>
          <w:szCs w:val="28"/>
          <w:highlight w:val="none"/>
          <w:lang w:val="en-US" w:eastAsia="zh-CN"/>
        </w:rPr>
        <w:t>1、创新点</w:t>
      </w:r>
    </w:p>
    <w:p w14:paraId="1DCE49A9">
      <w:pPr>
        <w:keepNext w:val="0"/>
        <w:keepLines w:val="0"/>
        <w:pageBreakBefore w:val="0"/>
        <w:kinsoku/>
        <w:overflowPunct/>
        <w:topLinePunct w:val="0"/>
        <w:bidi w:val="0"/>
        <w:snapToGrid/>
        <w:ind w:left="0" w:firstLine="640" w:firstLineChars="200"/>
        <w:textAlignment w:val="auto"/>
        <w:rPr>
          <w:rFonts w:hint="eastAsia" w:ascii="仿宋_GB2312" w:hAnsi="宋体"/>
          <w:color w:val="auto"/>
          <w:sz w:val="32"/>
          <w:szCs w:val="28"/>
          <w:highlight w:val="none"/>
          <w:lang w:val="en-US" w:eastAsia="zh-CN"/>
        </w:rPr>
      </w:pPr>
      <w:r>
        <w:rPr>
          <w:rFonts w:hint="eastAsia" w:ascii="仿宋_GB2312" w:hAnsi="宋体"/>
          <w:color w:val="auto"/>
          <w:sz w:val="32"/>
          <w:szCs w:val="28"/>
          <w:highlight w:val="none"/>
          <w:lang w:val="en-US" w:eastAsia="zh-CN"/>
        </w:rPr>
        <w:t>（1）首先在种茎处理上采用了包膜处理技术延长贮存时间，促根促芽，生长整齐，解决耐旱、出苗、苗弱、生根、分蘖、生长及病虫防治等一系列问题。</w:t>
      </w:r>
    </w:p>
    <w:p w14:paraId="1A9C50C7">
      <w:pPr>
        <w:keepNext w:val="0"/>
        <w:keepLines w:val="0"/>
        <w:pageBreakBefore w:val="0"/>
        <w:kinsoku/>
        <w:overflowPunct/>
        <w:topLinePunct w:val="0"/>
        <w:bidi w:val="0"/>
        <w:snapToGrid/>
        <w:ind w:left="0" w:firstLine="640" w:firstLineChars="200"/>
        <w:textAlignment w:val="auto"/>
        <w:rPr>
          <w:rFonts w:hint="eastAsia" w:ascii="仿宋_GB2312" w:hAnsi="宋体"/>
          <w:color w:val="auto"/>
          <w:sz w:val="32"/>
          <w:szCs w:val="28"/>
          <w:highlight w:val="none"/>
          <w:lang w:val="en-US" w:eastAsia="zh-CN"/>
        </w:rPr>
      </w:pPr>
      <w:r>
        <w:rPr>
          <w:rFonts w:hint="eastAsia" w:ascii="仿宋_GB2312" w:hAnsi="宋体"/>
          <w:color w:val="auto"/>
          <w:sz w:val="32"/>
          <w:szCs w:val="28"/>
          <w:highlight w:val="none"/>
          <w:lang w:val="en-US" w:eastAsia="zh-CN"/>
        </w:rPr>
        <w:t>（2）其次使用单芽种茎（苗）精量种植机，提高种植效率和种植质量，采用机械除草技术，减少除草剂的药害，促进甘蔗生长。</w:t>
      </w:r>
    </w:p>
    <w:p w14:paraId="2A81DD5F">
      <w:pPr>
        <w:keepNext w:val="0"/>
        <w:keepLines w:val="0"/>
        <w:pageBreakBefore w:val="0"/>
        <w:kinsoku/>
        <w:overflowPunct/>
        <w:topLinePunct w:val="0"/>
        <w:bidi w:val="0"/>
        <w:snapToGrid/>
        <w:ind w:left="0" w:firstLine="640" w:firstLineChars="200"/>
        <w:textAlignment w:val="auto"/>
        <w:rPr>
          <w:rFonts w:hint="default" w:ascii="仿宋_GB2312" w:hAnsi="宋体"/>
          <w:color w:val="auto"/>
          <w:sz w:val="32"/>
          <w:szCs w:val="28"/>
          <w:highlight w:val="none"/>
          <w:lang w:val="en-US" w:eastAsia="zh-CN"/>
        </w:rPr>
      </w:pPr>
      <w:r>
        <w:rPr>
          <w:rFonts w:hint="eastAsia" w:ascii="仿宋_GB2312" w:hAnsi="宋体"/>
          <w:color w:val="auto"/>
          <w:sz w:val="32"/>
          <w:szCs w:val="28"/>
          <w:highlight w:val="none"/>
          <w:lang w:val="en-US" w:eastAsia="zh-CN"/>
        </w:rPr>
        <w:t>2、主体内容</w:t>
      </w:r>
    </w:p>
    <w:p w14:paraId="691B939C">
      <w:pPr>
        <w:keepNext w:val="0"/>
        <w:keepLines w:val="0"/>
        <w:pageBreakBefore w:val="0"/>
        <w:kinsoku/>
        <w:overflowPunct/>
        <w:topLinePunct w:val="0"/>
        <w:bidi w:val="0"/>
        <w:snapToGrid/>
        <w:ind w:left="0" w:firstLine="640" w:firstLineChars="200"/>
        <w:textAlignment w:val="auto"/>
        <w:rPr>
          <w:rFonts w:ascii="仿宋_GB2312" w:hAnsi="宋体" w:eastAsia="仿宋_GB2312"/>
          <w:color w:val="auto"/>
          <w:sz w:val="32"/>
          <w:szCs w:val="28"/>
          <w:highlight w:val="none"/>
        </w:rPr>
      </w:pPr>
      <w:r>
        <w:rPr>
          <w:rFonts w:hint="eastAsia" w:ascii="仿宋_GB2312" w:hAnsi="宋体" w:eastAsia="仿宋_GB2312"/>
          <w:color w:val="auto"/>
          <w:sz w:val="32"/>
          <w:szCs w:val="28"/>
          <w:highlight w:val="none"/>
        </w:rPr>
        <w:t>标准编制工作组在对收集的资料进行整理研究之后，标准编制工作组召开了标准编制会议，对标准的整体框架结构进行了研究，并对标准的关键性内容进行了初步探讨。经过研究，标准的主体内容确定为</w:t>
      </w:r>
      <w:r>
        <w:rPr>
          <w:rFonts w:hint="eastAsia"/>
        </w:rPr>
        <w:t>蔗田选择、品种选择、单芽种茎生产、单芽种苗培育、单芽种茎（苗）机械种（移）植、田间管理、收获</w:t>
      </w:r>
      <w:r>
        <w:rPr>
          <w:rFonts w:hint="eastAsia" w:ascii="仿宋_GB2312" w:hAnsi="宋体" w:eastAsia="仿宋_GB2312"/>
          <w:color w:val="auto"/>
          <w:sz w:val="32"/>
          <w:szCs w:val="28"/>
          <w:highlight w:val="none"/>
        </w:rPr>
        <w:t>。</w:t>
      </w:r>
    </w:p>
    <w:p w14:paraId="61FABD75">
      <w:pPr>
        <w:keepNext w:val="0"/>
        <w:keepLines w:val="0"/>
        <w:pageBreakBefore w:val="0"/>
        <w:kinsoku/>
        <w:overflowPunct/>
        <w:topLinePunct w:val="0"/>
        <w:bidi w:val="0"/>
        <w:snapToGrid/>
        <w:spacing w:line="560" w:lineRule="exact"/>
        <w:ind w:left="0" w:firstLine="643" w:firstLineChars="200"/>
        <w:textAlignment w:val="auto"/>
        <w:rPr>
          <w:rFonts w:ascii="楷体" w:hAnsi="楷体" w:eastAsia="楷体" w:cs="仿宋_GB2312"/>
          <w:b/>
          <w:color w:val="auto"/>
          <w:sz w:val="32"/>
          <w:szCs w:val="28"/>
          <w:highlight w:val="none"/>
        </w:rPr>
      </w:pPr>
      <w:r>
        <w:rPr>
          <w:rFonts w:hint="eastAsia" w:ascii="楷体" w:hAnsi="楷体" w:eastAsia="楷体" w:cs="仿宋_GB2312"/>
          <w:b/>
          <w:color w:val="auto"/>
          <w:sz w:val="32"/>
          <w:szCs w:val="28"/>
          <w:highlight w:val="none"/>
        </w:rPr>
        <w:t>（四）调研及形成草案、征求意见稿</w:t>
      </w:r>
    </w:p>
    <w:p w14:paraId="6B432005">
      <w:pPr>
        <w:keepNext w:val="0"/>
        <w:keepLines w:val="0"/>
        <w:pageBreakBefore w:val="0"/>
        <w:kinsoku/>
        <w:overflowPunct/>
        <w:topLinePunct w:val="0"/>
        <w:bidi w:val="0"/>
        <w:snapToGrid/>
        <w:ind w:left="0" w:firstLine="640" w:firstLineChars="200"/>
        <w:textAlignment w:val="auto"/>
        <w:rPr>
          <w:rFonts w:ascii="仿宋_GB2312" w:hAnsi="宋体" w:eastAsia="仿宋_GB2312"/>
          <w:color w:val="auto"/>
          <w:sz w:val="32"/>
          <w:szCs w:val="28"/>
          <w:highlight w:val="none"/>
        </w:rPr>
      </w:pPr>
      <w:r>
        <w:rPr>
          <w:rFonts w:hint="eastAsia" w:ascii="仿宋_GB2312" w:hAnsi="宋体" w:eastAsia="仿宋_GB2312"/>
          <w:color w:val="auto"/>
          <w:sz w:val="32"/>
          <w:szCs w:val="28"/>
          <w:highlight w:val="none"/>
        </w:rPr>
        <w:t>20</w:t>
      </w:r>
      <w:r>
        <w:rPr>
          <w:rFonts w:hint="eastAsia" w:ascii="仿宋_GB2312" w:hAnsi="宋体"/>
          <w:color w:val="auto"/>
          <w:sz w:val="32"/>
          <w:szCs w:val="28"/>
          <w:highlight w:val="none"/>
          <w:lang w:val="en-US" w:eastAsia="zh-CN"/>
        </w:rPr>
        <w:t>25</w:t>
      </w:r>
      <w:r>
        <w:rPr>
          <w:rFonts w:hint="eastAsia" w:ascii="仿宋_GB2312" w:hAnsi="宋体" w:eastAsia="仿宋_GB2312"/>
          <w:color w:val="auto"/>
          <w:sz w:val="32"/>
          <w:szCs w:val="28"/>
          <w:highlight w:val="none"/>
        </w:rPr>
        <w:t>年</w:t>
      </w:r>
      <w:r>
        <w:rPr>
          <w:rFonts w:hint="eastAsia" w:ascii="仿宋_GB2312" w:hAnsi="宋体"/>
          <w:color w:val="auto"/>
          <w:sz w:val="32"/>
          <w:szCs w:val="28"/>
          <w:highlight w:val="none"/>
          <w:lang w:val="en-US" w:eastAsia="zh-CN"/>
        </w:rPr>
        <w:t>11-12</w:t>
      </w:r>
      <w:r>
        <w:rPr>
          <w:rFonts w:hint="eastAsia" w:ascii="仿宋_GB2312" w:hAnsi="宋体" w:eastAsia="仿宋_GB2312"/>
          <w:color w:val="auto"/>
          <w:sz w:val="32"/>
          <w:szCs w:val="28"/>
          <w:highlight w:val="none"/>
        </w:rPr>
        <w:t>月，标准起草工作小组进行了广泛调研工作，查阅了大量的国内外文献资料，对糖料蔗单芽种茎(苗)机械化栽培的前人研究成果进行系统总结。形成了标准的基本构架，对主要内容进行了讨论并对项目的工作进行了部署和安排。</w:t>
      </w:r>
    </w:p>
    <w:p w14:paraId="09305CF3">
      <w:pPr>
        <w:keepNext w:val="0"/>
        <w:keepLines w:val="0"/>
        <w:pageBreakBefore w:val="0"/>
        <w:kinsoku/>
        <w:overflowPunct/>
        <w:topLinePunct w:val="0"/>
        <w:bidi w:val="0"/>
        <w:snapToGrid/>
        <w:ind w:left="0" w:firstLine="640" w:firstLineChars="200"/>
        <w:textAlignment w:val="auto"/>
        <w:rPr>
          <w:rFonts w:ascii="仿宋_GB2312" w:hAnsi="宋体" w:eastAsia="仿宋_GB2312"/>
          <w:color w:val="auto"/>
          <w:sz w:val="32"/>
          <w:szCs w:val="28"/>
          <w:highlight w:val="none"/>
        </w:rPr>
      </w:pPr>
      <w:r>
        <w:rPr>
          <w:rFonts w:hint="eastAsia" w:ascii="仿宋_GB2312" w:hAnsi="宋体" w:eastAsia="仿宋_GB2312"/>
          <w:color w:val="auto"/>
          <w:sz w:val="32"/>
          <w:szCs w:val="28"/>
          <w:highlight w:val="none"/>
        </w:rPr>
        <w:t>20</w:t>
      </w:r>
      <w:r>
        <w:rPr>
          <w:rFonts w:hint="eastAsia" w:ascii="仿宋_GB2312" w:hAnsi="宋体"/>
          <w:color w:val="auto"/>
          <w:sz w:val="32"/>
          <w:szCs w:val="28"/>
          <w:highlight w:val="none"/>
          <w:lang w:val="en-US" w:eastAsia="zh-CN"/>
        </w:rPr>
        <w:t>25</w:t>
      </w:r>
      <w:r>
        <w:rPr>
          <w:rFonts w:hint="eastAsia" w:ascii="仿宋_GB2312" w:hAnsi="宋体" w:eastAsia="仿宋_GB2312"/>
          <w:color w:val="auto"/>
          <w:sz w:val="32"/>
          <w:szCs w:val="28"/>
          <w:highlight w:val="none"/>
        </w:rPr>
        <w:t>年</w:t>
      </w:r>
      <w:r>
        <w:rPr>
          <w:rFonts w:hint="eastAsia" w:ascii="仿宋_GB2312" w:hAnsi="宋体"/>
          <w:color w:val="auto"/>
          <w:sz w:val="32"/>
          <w:szCs w:val="28"/>
          <w:highlight w:val="none"/>
          <w:lang w:val="en-US" w:eastAsia="zh-CN"/>
        </w:rPr>
        <w:t>12</w:t>
      </w:r>
      <w:r>
        <w:rPr>
          <w:rFonts w:hint="eastAsia" w:ascii="仿宋_GB2312" w:hAnsi="宋体" w:eastAsia="仿宋_GB2312"/>
          <w:color w:val="auto"/>
          <w:sz w:val="32"/>
          <w:szCs w:val="28"/>
          <w:highlight w:val="none"/>
        </w:rPr>
        <w:t>月</w:t>
      </w:r>
      <w:r>
        <w:rPr>
          <w:rFonts w:hint="eastAsia" w:ascii="仿宋_GB2312" w:hAnsi="宋体"/>
          <w:color w:val="auto"/>
          <w:sz w:val="32"/>
          <w:szCs w:val="28"/>
          <w:highlight w:val="none"/>
          <w:lang w:val="en-US" w:eastAsia="zh-CN"/>
        </w:rPr>
        <w:t>-</w:t>
      </w:r>
      <w:r>
        <w:rPr>
          <w:rFonts w:hint="eastAsia" w:ascii="仿宋_GB2312" w:hAnsi="宋体" w:eastAsia="仿宋_GB2312"/>
          <w:color w:val="auto"/>
          <w:sz w:val="32"/>
          <w:szCs w:val="28"/>
          <w:highlight w:val="none"/>
        </w:rPr>
        <w:t>20</w:t>
      </w:r>
      <w:r>
        <w:rPr>
          <w:rFonts w:hint="eastAsia" w:ascii="仿宋_GB2312" w:hAnsi="宋体"/>
          <w:color w:val="auto"/>
          <w:sz w:val="32"/>
          <w:szCs w:val="28"/>
          <w:highlight w:val="none"/>
          <w:lang w:val="en-US" w:eastAsia="zh-CN"/>
        </w:rPr>
        <w:t>26</w:t>
      </w:r>
      <w:r>
        <w:rPr>
          <w:rFonts w:hint="eastAsia" w:ascii="仿宋_GB2312" w:hAnsi="宋体" w:eastAsia="仿宋_GB2312"/>
          <w:color w:val="auto"/>
          <w:sz w:val="32"/>
          <w:szCs w:val="28"/>
          <w:highlight w:val="none"/>
        </w:rPr>
        <w:t>年</w:t>
      </w:r>
      <w:r>
        <w:rPr>
          <w:rFonts w:hint="eastAsia" w:ascii="仿宋_GB2312" w:hAnsi="宋体"/>
          <w:color w:val="auto"/>
          <w:sz w:val="32"/>
          <w:szCs w:val="28"/>
          <w:highlight w:val="none"/>
          <w:lang w:val="en-US" w:eastAsia="zh-CN"/>
        </w:rPr>
        <w:t>2</w:t>
      </w:r>
      <w:r>
        <w:rPr>
          <w:rFonts w:hint="eastAsia" w:ascii="仿宋_GB2312" w:hAnsi="宋体" w:eastAsia="仿宋_GB2312"/>
          <w:color w:val="auto"/>
          <w:sz w:val="32"/>
          <w:szCs w:val="28"/>
          <w:highlight w:val="none"/>
        </w:rPr>
        <w:t>月，在前期工作的基础之上，通过理清逻辑脉络，整合已有的参考资料中有关糖料蔗单芽种茎(苗)机械化栽培要求，并结合糖料蔗单芽种茎(苗)机械化栽培实际要求的基础上，按照简化、统一等原则编制完成团体标准《糖料蔗单芽种茎(苗)机械化栽培</w:t>
      </w:r>
      <w:r>
        <w:rPr>
          <w:rFonts w:hint="eastAsia" w:ascii="仿宋_GB2312" w:hAnsi="宋体"/>
          <w:color w:val="auto"/>
          <w:sz w:val="32"/>
          <w:szCs w:val="28"/>
          <w:highlight w:val="none"/>
          <w:lang w:val="en-US" w:eastAsia="zh-CN"/>
        </w:rPr>
        <w:t>技术规程</w:t>
      </w:r>
      <w:r>
        <w:rPr>
          <w:rFonts w:hint="eastAsia" w:ascii="仿宋_GB2312" w:hAnsi="宋体" w:eastAsia="仿宋_GB2312"/>
          <w:color w:val="auto"/>
          <w:sz w:val="32"/>
          <w:szCs w:val="28"/>
          <w:highlight w:val="none"/>
        </w:rPr>
        <w:t>》（草案）。</w:t>
      </w:r>
    </w:p>
    <w:p w14:paraId="1F6A96F1">
      <w:pPr>
        <w:keepNext w:val="0"/>
        <w:keepLines w:val="0"/>
        <w:pageBreakBefore w:val="0"/>
        <w:kinsoku/>
        <w:overflowPunct/>
        <w:topLinePunct w:val="0"/>
        <w:bidi w:val="0"/>
        <w:snapToGrid/>
        <w:ind w:left="0" w:firstLine="640" w:firstLineChars="200"/>
        <w:textAlignment w:val="auto"/>
        <w:rPr>
          <w:rFonts w:ascii="仿宋_GB2312" w:hAnsi="宋体" w:eastAsia="仿宋_GB2312"/>
          <w:color w:val="auto"/>
          <w:sz w:val="32"/>
          <w:szCs w:val="28"/>
          <w:highlight w:val="none"/>
        </w:rPr>
      </w:pPr>
      <w:r>
        <w:rPr>
          <w:rFonts w:hint="eastAsia" w:ascii="仿宋_GB2312" w:hAnsi="宋体" w:eastAsia="仿宋_GB2312"/>
          <w:color w:val="auto"/>
          <w:sz w:val="32"/>
          <w:szCs w:val="28"/>
          <w:highlight w:val="none"/>
        </w:rPr>
        <w:t>20</w:t>
      </w:r>
      <w:r>
        <w:rPr>
          <w:rFonts w:hint="eastAsia" w:ascii="仿宋_GB2312" w:hAnsi="宋体"/>
          <w:color w:val="auto"/>
          <w:sz w:val="32"/>
          <w:szCs w:val="28"/>
          <w:highlight w:val="none"/>
          <w:lang w:val="en-US" w:eastAsia="zh-CN"/>
        </w:rPr>
        <w:t>26</w:t>
      </w:r>
      <w:r>
        <w:rPr>
          <w:rFonts w:hint="eastAsia" w:ascii="仿宋_GB2312" w:hAnsi="宋体" w:eastAsia="仿宋_GB2312"/>
          <w:color w:val="auto"/>
          <w:sz w:val="32"/>
          <w:szCs w:val="28"/>
          <w:highlight w:val="none"/>
        </w:rPr>
        <w:t>年</w:t>
      </w:r>
      <w:r>
        <w:rPr>
          <w:rFonts w:hint="eastAsia" w:ascii="仿宋_GB2312" w:hAnsi="宋体"/>
          <w:color w:val="auto"/>
          <w:sz w:val="32"/>
          <w:szCs w:val="28"/>
          <w:highlight w:val="none"/>
          <w:lang w:val="en-US" w:eastAsia="zh-CN"/>
        </w:rPr>
        <w:t>3</w:t>
      </w:r>
      <w:r>
        <w:rPr>
          <w:rFonts w:hint="eastAsia" w:ascii="仿宋_GB2312" w:hAnsi="宋体" w:eastAsia="仿宋_GB2312"/>
          <w:color w:val="auto"/>
          <w:sz w:val="32"/>
          <w:szCs w:val="28"/>
          <w:highlight w:val="none"/>
        </w:rPr>
        <w:t>月</w:t>
      </w:r>
      <w:r>
        <w:rPr>
          <w:rFonts w:hint="eastAsia" w:ascii="仿宋_GB2312" w:hAnsi="宋体"/>
          <w:color w:val="auto"/>
          <w:sz w:val="32"/>
          <w:szCs w:val="28"/>
          <w:highlight w:val="none"/>
          <w:lang w:val="en-US" w:eastAsia="zh-CN"/>
        </w:rPr>
        <w:t>-4月</w:t>
      </w:r>
      <w:r>
        <w:rPr>
          <w:rFonts w:hint="eastAsia" w:ascii="仿宋_GB2312" w:hAnsi="宋体" w:eastAsia="仿宋_GB2312"/>
          <w:color w:val="auto"/>
          <w:sz w:val="32"/>
          <w:szCs w:val="28"/>
          <w:highlight w:val="none"/>
        </w:rPr>
        <w:t>，标准起草工作组到</w:t>
      </w:r>
      <w:r>
        <w:rPr>
          <w:rFonts w:ascii="仿宋_GB2312" w:hAnsi="宋体" w:eastAsia="仿宋_GB2312"/>
          <w:color w:val="auto"/>
          <w:sz w:val="32"/>
          <w:szCs w:val="28"/>
          <w:highlight w:val="none"/>
        </w:rPr>
        <w:t>相关单位和科研机构进行调研，</w:t>
      </w:r>
      <w:r>
        <w:rPr>
          <w:rFonts w:hint="eastAsia" w:ascii="仿宋_GB2312" w:hAnsi="宋体"/>
          <w:color w:val="auto"/>
          <w:sz w:val="32"/>
          <w:szCs w:val="28"/>
          <w:highlight w:val="none"/>
          <w:lang w:val="en-US" w:eastAsia="zh-CN"/>
        </w:rPr>
        <w:t>结合生产实践</w:t>
      </w:r>
      <w:r>
        <w:rPr>
          <w:rFonts w:ascii="仿宋_GB2312" w:hAnsi="宋体" w:eastAsia="仿宋_GB2312"/>
          <w:color w:val="auto"/>
          <w:sz w:val="32"/>
          <w:szCs w:val="28"/>
          <w:highlight w:val="none"/>
        </w:rPr>
        <w:t>验证</w:t>
      </w:r>
      <w:r>
        <w:rPr>
          <w:rFonts w:hint="eastAsia" w:ascii="仿宋_GB2312" w:hAnsi="宋体" w:eastAsia="仿宋_GB2312"/>
          <w:color w:val="auto"/>
          <w:sz w:val="32"/>
          <w:szCs w:val="28"/>
          <w:highlight w:val="none"/>
        </w:rPr>
        <w:t>。并实际征求意见，通过收集反馈了大量意见，标准编制工作组多次召开会议，对标准草案进行了反复修改和研究讨论。进一步讨论完善标准草案，形成团体标准《糖料蔗单芽种茎(苗)机械化栽培</w:t>
      </w:r>
      <w:r>
        <w:rPr>
          <w:rFonts w:hint="eastAsia" w:ascii="仿宋_GB2312" w:hAnsi="宋体"/>
          <w:color w:val="auto"/>
          <w:sz w:val="32"/>
          <w:szCs w:val="28"/>
          <w:highlight w:val="none"/>
          <w:lang w:val="en-US" w:eastAsia="zh-CN"/>
        </w:rPr>
        <w:t>技术规程</w:t>
      </w:r>
      <w:r>
        <w:rPr>
          <w:rFonts w:hint="eastAsia" w:ascii="仿宋_GB2312" w:hAnsi="宋体" w:eastAsia="仿宋_GB2312"/>
          <w:color w:val="auto"/>
          <w:sz w:val="32"/>
          <w:szCs w:val="28"/>
          <w:highlight w:val="none"/>
        </w:rPr>
        <w:t>》（征求意见稿）和（征求意见稿）编制说明。</w:t>
      </w:r>
    </w:p>
    <w:p w14:paraId="3B832357">
      <w:pPr>
        <w:keepNext w:val="0"/>
        <w:keepLines w:val="0"/>
        <w:pageBreakBefore w:val="0"/>
        <w:kinsoku/>
        <w:overflowPunct/>
        <w:topLinePunct w:val="0"/>
        <w:autoSpaceDE w:val="0"/>
        <w:autoSpaceDN w:val="0"/>
        <w:bidi w:val="0"/>
        <w:adjustRightInd w:val="0"/>
        <w:snapToGrid/>
        <w:ind w:left="0"/>
        <w:jc w:val="left"/>
        <w:textAlignment w:val="auto"/>
        <w:rPr>
          <w:rFonts w:eastAsia="黑体"/>
          <w:bCs/>
          <w:color w:val="auto"/>
          <w:sz w:val="32"/>
          <w:szCs w:val="32"/>
          <w:highlight w:val="none"/>
        </w:rPr>
      </w:pPr>
      <w:bookmarkStart w:id="0" w:name="_Toc526940083"/>
      <w:r>
        <w:rPr>
          <w:rFonts w:eastAsia="黑体"/>
          <w:bCs/>
          <w:color w:val="auto"/>
          <w:sz w:val="32"/>
          <w:szCs w:val="32"/>
          <w:highlight w:val="none"/>
        </w:rPr>
        <w:t>四、</w:t>
      </w:r>
      <w:bookmarkEnd w:id="0"/>
      <w:r>
        <w:rPr>
          <w:rFonts w:eastAsia="黑体"/>
          <w:bCs/>
          <w:color w:val="auto"/>
          <w:sz w:val="32"/>
          <w:szCs w:val="32"/>
          <w:highlight w:val="none"/>
        </w:rPr>
        <w:t>制定标准的原则和依据，与现行法律、法规的关系，与有关国家标准、行业标准的协调情况</w:t>
      </w:r>
    </w:p>
    <w:p w14:paraId="30EFA250">
      <w:pPr>
        <w:pStyle w:val="11"/>
        <w:keepNext w:val="0"/>
        <w:keepLines w:val="0"/>
        <w:pageBreakBefore w:val="0"/>
        <w:kinsoku/>
        <w:overflowPunct/>
        <w:topLinePunct w:val="0"/>
        <w:bidi w:val="0"/>
        <w:snapToGrid/>
        <w:spacing w:line="560" w:lineRule="exact"/>
        <w:ind w:left="0" w:firstLine="0" w:firstLineChars="0"/>
        <w:textAlignment w:val="auto"/>
        <w:outlineLvl w:val="1"/>
        <w:rPr>
          <w:rFonts w:ascii="Times New Roman" w:eastAsia="仿宋"/>
          <w:b/>
          <w:bCs/>
          <w:color w:val="auto"/>
          <w:sz w:val="32"/>
          <w:szCs w:val="32"/>
          <w:highlight w:val="none"/>
        </w:rPr>
      </w:pPr>
      <w:r>
        <w:rPr>
          <w:rFonts w:ascii="Times New Roman" w:eastAsia="仿宋"/>
          <w:b/>
          <w:bCs/>
          <w:color w:val="auto"/>
          <w:sz w:val="32"/>
          <w:szCs w:val="32"/>
          <w:highlight w:val="none"/>
        </w:rPr>
        <w:t>（一）编制原则</w:t>
      </w:r>
    </w:p>
    <w:p w14:paraId="7432AB81">
      <w:pPr>
        <w:keepNext w:val="0"/>
        <w:keepLines w:val="0"/>
        <w:pageBreakBefore w:val="0"/>
        <w:tabs>
          <w:tab w:val="center" w:pos="4201"/>
          <w:tab w:val="right" w:leader="dot" w:pos="9298"/>
        </w:tabs>
        <w:kinsoku/>
        <w:overflowPunct/>
        <w:topLinePunct w:val="0"/>
        <w:autoSpaceDE w:val="0"/>
        <w:autoSpaceDN w:val="0"/>
        <w:bidi w:val="0"/>
        <w:snapToGrid/>
        <w:ind w:left="0" w:firstLine="643"/>
        <w:textAlignment w:val="auto"/>
        <w:outlineLvl w:val="2"/>
        <w:rPr>
          <w:rFonts w:eastAsia="仿宋"/>
          <w:b/>
          <w:bCs/>
          <w:color w:val="auto"/>
          <w:kern w:val="0"/>
          <w:sz w:val="32"/>
          <w:szCs w:val="32"/>
          <w:highlight w:val="none"/>
        </w:rPr>
      </w:pPr>
      <w:r>
        <w:rPr>
          <w:rFonts w:eastAsia="仿宋"/>
          <w:b/>
          <w:bCs/>
          <w:color w:val="auto"/>
          <w:kern w:val="0"/>
          <w:sz w:val="32"/>
          <w:szCs w:val="32"/>
          <w:highlight w:val="none"/>
        </w:rPr>
        <w:t>1、实用性原则</w:t>
      </w:r>
    </w:p>
    <w:p w14:paraId="096AD80F">
      <w:pPr>
        <w:keepNext w:val="0"/>
        <w:keepLines w:val="0"/>
        <w:pageBreakBefore w:val="0"/>
        <w:kinsoku/>
        <w:overflowPunct/>
        <w:topLinePunct w:val="0"/>
        <w:bidi w:val="0"/>
        <w:snapToGrid/>
        <w:ind w:left="0" w:firstLine="640" w:firstLineChars="200"/>
        <w:textAlignment w:val="auto"/>
        <w:rPr>
          <w:rFonts w:ascii="仿宋_GB2312" w:hAnsi="宋体" w:eastAsia="仿宋_GB2312"/>
          <w:color w:val="auto"/>
          <w:sz w:val="32"/>
          <w:szCs w:val="28"/>
          <w:highlight w:val="none"/>
        </w:rPr>
      </w:pPr>
      <w:r>
        <w:rPr>
          <w:rFonts w:hint="eastAsia" w:ascii="仿宋_GB2312" w:hAnsi="宋体" w:eastAsia="仿宋_GB2312"/>
          <w:color w:val="auto"/>
          <w:sz w:val="32"/>
          <w:szCs w:val="28"/>
          <w:highlight w:val="none"/>
        </w:rPr>
        <w:t>本文件是在充分收集相关资料和文献，分析糖料蔗单芽种茎(苗)机械化栽培当前现状，在现有相关糖料蔗单芽种茎(苗)机械化栽培要求的基础上，结合编制单位</w:t>
      </w:r>
      <w:r>
        <w:rPr>
          <w:rFonts w:ascii="仿宋_GB2312" w:hAnsi="宋体" w:eastAsia="仿宋_GB2312"/>
          <w:color w:val="auto"/>
          <w:sz w:val="32"/>
          <w:szCs w:val="28"/>
          <w:highlight w:val="none"/>
        </w:rPr>
        <w:t>多年</w:t>
      </w:r>
      <w:r>
        <w:rPr>
          <w:rFonts w:hint="eastAsia" w:ascii="仿宋_GB2312" w:hAnsi="宋体" w:eastAsia="仿宋_GB2312"/>
          <w:color w:val="auto"/>
          <w:sz w:val="32"/>
          <w:szCs w:val="28"/>
          <w:highlight w:val="none"/>
        </w:rPr>
        <w:t>相关经验而总结起草的，符合当前糖料蔗单芽种茎(苗)机械化栽培发展的方向，具有较强的实用性和可操作性。</w:t>
      </w:r>
    </w:p>
    <w:p w14:paraId="62EF7D35">
      <w:pPr>
        <w:keepNext w:val="0"/>
        <w:keepLines w:val="0"/>
        <w:pageBreakBefore w:val="0"/>
        <w:tabs>
          <w:tab w:val="center" w:pos="4201"/>
          <w:tab w:val="right" w:leader="dot" w:pos="9298"/>
        </w:tabs>
        <w:kinsoku/>
        <w:overflowPunct/>
        <w:topLinePunct w:val="0"/>
        <w:autoSpaceDE w:val="0"/>
        <w:autoSpaceDN w:val="0"/>
        <w:bidi w:val="0"/>
        <w:snapToGrid/>
        <w:ind w:left="0" w:firstLine="643"/>
        <w:textAlignment w:val="auto"/>
        <w:outlineLvl w:val="2"/>
        <w:rPr>
          <w:rFonts w:eastAsia="仿宋"/>
          <w:b/>
          <w:bCs/>
          <w:color w:val="auto"/>
          <w:kern w:val="0"/>
          <w:sz w:val="32"/>
          <w:szCs w:val="32"/>
          <w:highlight w:val="none"/>
        </w:rPr>
      </w:pPr>
      <w:r>
        <w:rPr>
          <w:rFonts w:hint="eastAsia" w:eastAsia="仿宋"/>
          <w:b/>
          <w:bCs/>
          <w:color w:val="auto"/>
          <w:kern w:val="0"/>
          <w:sz w:val="32"/>
          <w:szCs w:val="32"/>
          <w:highlight w:val="none"/>
        </w:rPr>
        <w:t>2、协调性原则</w:t>
      </w:r>
    </w:p>
    <w:p w14:paraId="18A33837">
      <w:pPr>
        <w:keepNext w:val="0"/>
        <w:keepLines w:val="0"/>
        <w:pageBreakBefore w:val="0"/>
        <w:kinsoku/>
        <w:overflowPunct/>
        <w:topLinePunct w:val="0"/>
        <w:bidi w:val="0"/>
        <w:snapToGrid/>
        <w:ind w:left="0" w:firstLine="640" w:firstLineChars="200"/>
        <w:textAlignment w:val="auto"/>
        <w:rPr>
          <w:rFonts w:ascii="仿宋_GB2312" w:hAnsi="宋体" w:eastAsia="仿宋_GB2312"/>
          <w:color w:val="auto"/>
          <w:sz w:val="32"/>
          <w:szCs w:val="28"/>
          <w:highlight w:val="none"/>
        </w:rPr>
      </w:pPr>
      <w:r>
        <w:rPr>
          <w:rFonts w:hint="eastAsia" w:ascii="仿宋_GB2312" w:hAnsi="宋体" w:eastAsia="仿宋_GB2312"/>
          <w:color w:val="auto"/>
          <w:sz w:val="32"/>
          <w:szCs w:val="28"/>
          <w:highlight w:val="none"/>
        </w:rPr>
        <w:t>本文件编写过程中注意了与糖料蔗单芽种茎(苗)机械化栽培相关法律法规的协调问题，在内容上与现行法律法规、标准协调一致。</w:t>
      </w:r>
    </w:p>
    <w:p w14:paraId="48B06747">
      <w:pPr>
        <w:keepNext w:val="0"/>
        <w:keepLines w:val="0"/>
        <w:pageBreakBefore w:val="0"/>
        <w:tabs>
          <w:tab w:val="center" w:pos="4201"/>
          <w:tab w:val="right" w:leader="dot" w:pos="9298"/>
        </w:tabs>
        <w:kinsoku/>
        <w:overflowPunct/>
        <w:topLinePunct w:val="0"/>
        <w:autoSpaceDE w:val="0"/>
        <w:autoSpaceDN w:val="0"/>
        <w:bidi w:val="0"/>
        <w:snapToGrid/>
        <w:ind w:left="0" w:firstLine="643"/>
        <w:textAlignment w:val="auto"/>
        <w:outlineLvl w:val="2"/>
        <w:rPr>
          <w:rFonts w:eastAsia="仿宋"/>
          <w:b/>
          <w:bCs/>
          <w:color w:val="auto"/>
          <w:kern w:val="0"/>
          <w:sz w:val="32"/>
          <w:szCs w:val="32"/>
          <w:highlight w:val="none"/>
        </w:rPr>
      </w:pPr>
      <w:r>
        <w:rPr>
          <w:rFonts w:hint="eastAsia" w:eastAsia="仿宋"/>
          <w:b/>
          <w:bCs/>
          <w:color w:val="auto"/>
          <w:kern w:val="0"/>
          <w:sz w:val="32"/>
          <w:szCs w:val="32"/>
          <w:highlight w:val="none"/>
        </w:rPr>
        <w:t>3、规范性原则</w:t>
      </w:r>
    </w:p>
    <w:p w14:paraId="3276EBB5">
      <w:pPr>
        <w:keepNext w:val="0"/>
        <w:keepLines w:val="0"/>
        <w:pageBreakBefore w:val="0"/>
        <w:kinsoku/>
        <w:overflowPunct/>
        <w:topLinePunct w:val="0"/>
        <w:bidi w:val="0"/>
        <w:snapToGrid/>
        <w:ind w:left="0" w:firstLine="640" w:firstLineChars="200"/>
        <w:textAlignment w:val="auto"/>
        <w:rPr>
          <w:rFonts w:ascii="仿宋_GB2312" w:hAnsi="宋体" w:eastAsia="仿宋_GB2312"/>
          <w:color w:val="auto"/>
          <w:sz w:val="32"/>
          <w:szCs w:val="28"/>
          <w:highlight w:val="none"/>
        </w:rPr>
      </w:pPr>
      <w:r>
        <w:rPr>
          <w:rFonts w:hint="eastAsia" w:ascii="仿宋_GB2312" w:hAnsi="宋体" w:eastAsia="仿宋_GB2312"/>
          <w:color w:val="auto"/>
          <w:sz w:val="32"/>
          <w:szCs w:val="28"/>
          <w:highlight w:val="none"/>
        </w:rPr>
        <w:t>本文件严格参照GB/T 1.1—2020《标准化工作导则  第1部分：标准化文件的结构和起草规则》编写本标准的内容，保证标准的编写质量。</w:t>
      </w:r>
    </w:p>
    <w:p w14:paraId="173D3B39">
      <w:pPr>
        <w:keepNext w:val="0"/>
        <w:keepLines w:val="0"/>
        <w:pageBreakBefore w:val="0"/>
        <w:tabs>
          <w:tab w:val="center" w:pos="4201"/>
          <w:tab w:val="right" w:leader="dot" w:pos="9298"/>
        </w:tabs>
        <w:kinsoku/>
        <w:overflowPunct/>
        <w:topLinePunct w:val="0"/>
        <w:autoSpaceDE w:val="0"/>
        <w:autoSpaceDN w:val="0"/>
        <w:bidi w:val="0"/>
        <w:snapToGrid/>
        <w:ind w:left="0" w:firstLine="643"/>
        <w:textAlignment w:val="auto"/>
        <w:outlineLvl w:val="2"/>
        <w:rPr>
          <w:rFonts w:eastAsia="仿宋"/>
          <w:b/>
          <w:bCs/>
          <w:color w:val="auto"/>
          <w:kern w:val="0"/>
          <w:sz w:val="32"/>
          <w:szCs w:val="32"/>
          <w:highlight w:val="none"/>
        </w:rPr>
      </w:pPr>
      <w:r>
        <w:rPr>
          <w:rFonts w:hint="eastAsia" w:eastAsia="仿宋"/>
          <w:b/>
          <w:bCs/>
          <w:color w:val="auto"/>
          <w:kern w:val="0"/>
          <w:sz w:val="32"/>
          <w:szCs w:val="32"/>
          <w:highlight w:val="none"/>
        </w:rPr>
        <w:t>4、前瞻性原则</w:t>
      </w:r>
    </w:p>
    <w:p w14:paraId="2315C397">
      <w:pPr>
        <w:keepNext w:val="0"/>
        <w:keepLines w:val="0"/>
        <w:pageBreakBefore w:val="0"/>
        <w:kinsoku/>
        <w:overflowPunct/>
        <w:topLinePunct w:val="0"/>
        <w:bidi w:val="0"/>
        <w:snapToGrid/>
        <w:ind w:left="0" w:firstLine="640" w:firstLineChars="200"/>
        <w:textAlignment w:val="auto"/>
        <w:rPr>
          <w:rFonts w:ascii="仿宋_GB2312" w:hAnsi="宋体" w:eastAsia="仿宋_GB2312"/>
          <w:color w:val="auto"/>
          <w:sz w:val="32"/>
          <w:szCs w:val="28"/>
          <w:highlight w:val="none"/>
        </w:rPr>
      </w:pPr>
      <w:r>
        <w:rPr>
          <w:rFonts w:hint="eastAsia" w:ascii="仿宋_GB2312" w:hAnsi="宋体" w:eastAsia="仿宋_GB2312"/>
          <w:color w:val="auto"/>
          <w:sz w:val="32"/>
          <w:szCs w:val="28"/>
          <w:highlight w:val="none"/>
        </w:rPr>
        <w:t>本文件在兼顾当前区内糖料蔗单芽种茎(苗)机械化栽培现实情况的同时，还考虑到了糖料蔗单芽种茎(苗)机械化栽培快速发展的趋势和需要，在标准中体现了个别特色性、前瞻性和先进性条款，作为对糖料蔗单芽种茎(苗)机械化栽培发展的指导。</w:t>
      </w:r>
    </w:p>
    <w:p w14:paraId="323DB155">
      <w:pPr>
        <w:keepNext w:val="0"/>
        <w:keepLines w:val="0"/>
        <w:pageBreakBefore w:val="0"/>
        <w:widowControl/>
        <w:tabs>
          <w:tab w:val="center" w:pos="4201"/>
          <w:tab w:val="right" w:leader="dot" w:pos="9298"/>
        </w:tabs>
        <w:kinsoku/>
        <w:overflowPunct/>
        <w:topLinePunct w:val="0"/>
        <w:autoSpaceDE w:val="0"/>
        <w:autoSpaceDN w:val="0"/>
        <w:bidi w:val="0"/>
        <w:snapToGrid/>
        <w:spacing w:line="560" w:lineRule="exact"/>
        <w:ind w:left="0"/>
        <w:textAlignment w:val="auto"/>
        <w:outlineLvl w:val="1"/>
        <w:rPr>
          <w:rFonts w:eastAsia="仿宋"/>
          <w:b/>
          <w:bCs/>
          <w:color w:val="auto"/>
          <w:kern w:val="0"/>
          <w:sz w:val="32"/>
          <w:szCs w:val="32"/>
          <w:highlight w:val="none"/>
        </w:rPr>
      </w:pPr>
      <w:r>
        <w:rPr>
          <w:rFonts w:eastAsia="仿宋"/>
          <w:b/>
          <w:bCs/>
          <w:color w:val="auto"/>
          <w:kern w:val="0"/>
          <w:sz w:val="32"/>
          <w:szCs w:val="32"/>
          <w:highlight w:val="none"/>
        </w:rPr>
        <w:t>（二）编制依据</w:t>
      </w:r>
    </w:p>
    <w:p w14:paraId="03C8CA65">
      <w:pPr>
        <w:keepNext w:val="0"/>
        <w:keepLines w:val="0"/>
        <w:pageBreakBefore w:val="0"/>
        <w:kinsoku/>
        <w:overflowPunct/>
        <w:topLinePunct w:val="0"/>
        <w:bidi w:val="0"/>
        <w:snapToGrid/>
        <w:ind w:left="0" w:firstLine="640" w:firstLineChars="200"/>
        <w:textAlignment w:val="auto"/>
        <w:rPr>
          <w:rFonts w:eastAsia="仿宋"/>
          <w:color w:val="auto"/>
          <w:sz w:val="32"/>
          <w:szCs w:val="32"/>
          <w:highlight w:val="none"/>
        </w:rPr>
      </w:pPr>
      <w:r>
        <w:rPr>
          <w:rFonts w:eastAsia="仿宋"/>
          <w:color w:val="auto"/>
          <w:sz w:val="32"/>
          <w:szCs w:val="32"/>
          <w:highlight w:val="none"/>
        </w:rPr>
        <w:t>本标准严格按照GB/T 1.1—2020《标准化工作导则  第1部分：标准化文件的结构和起草规则》的规则起草，标准主要内容参考相关标准文件并结合起草单位多年的</w:t>
      </w:r>
      <w:r>
        <w:rPr>
          <w:rFonts w:hint="eastAsia" w:eastAsia="仿宋"/>
          <w:color w:val="auto"/>
          <w:sz w:val="32"/>
          <w:szCs w:val="32"/>
          <w:highlight w:val="none"/>
        </w:rPr>
        <w:t>相关</w:t>
      </w:r>
      <w:r>
        <w:rPr>
          <w:rFonts w:eastAsia="仿宋"/>
          <w:color w:val="auto"/>
          <w:sz w:val="32"/>
          <w:szCs w:val="32"/>
          <w:highlight w:val="none"/>
        </w:rPr>
        <w:t>经验</w:t>
      </w:r>
      <w:r>
        <w:rPr>
          <w:rFonts w:hint="eastAsia" w:eastAsia="仿宋"/>
          <w:color w:val="auto"/>
          <w:sz w:val="32"/>
          <w:szCs w:val="32"/>
          <w:highlight w:val="none"/>
        </w:rPr>
        <w:t>和实践</w:t>
      </w:r>
      <w:r>
        <w:rPr>
          <w:rFonts w:eastAsia="仿宋"/>
          <w:color w:val="auto"/>
          <w:sz w:val="32"/>
          <w:szCs w:val="32"/>
          <w:highlight w:val="none"/>
        </w:rPr>
        <w:t>验证情况总结进行起草。</w:t>
      </w:r>
    </w:p>
    <w:p w14:paraId="4909473A">
      <w:pPr>
        <w:keepNext w:val="0"/>
        <w:keepLines w:val="0"/>
        <w:pageBreakBefore w:val="0"/>
        <w:widowControl/>
        <w:tabs>
          <w:tab w:val="center" w:pos="4201"/>
          <w:tab w:val="right" w:leader="dot" w:pos="9298"/>
        </w:tabs>
        <w:kinsoku/>
        <w:overflowPunct/>
        <w:topLinePunct w:val="0"/>
        <w:autoSpaceDE w:val="0"/>
        <w:autoSpaceDN w:val="0"/>
        <w:bidi w:val="0"/>
        <w:snapToGrid/>
        <w:spacing w:line="560" w:lineRule="exact"/>
        <w:ind w:left="0"/>
        <w:textAlignment w:val="auto"/>
        <w:outlineLvl w:val="1"/>
        <w:rPr>
          <w:rFonts w:eastAsia="仿宋"/>
          <w:b/>
          <w:bCs/>
          <w:color w:val="auto"/>
          <w:kern w:val="0"/>
          <w:sz w:val="32"/>
          <w:szCs w:val="32"/>
          <w:highlight w:val="none"/>
        </w:rPr>
      </w:pPr>
      <w:r>
        <w:rPr>
          <w:rFonts w:eastAsia="仿宋"/>
          <w:b/>
          <w:bCs/>
          <w:color w:val="auto"/>
          <w:kern w:val="0"/>
          <w:sz w:val="32"/>
          <w:szCs w:val="32"/>
          <w:highlight w:val="none"/>
        </w:rPr>
        <w:t>（三）与现行法律、法规的关系，与有关国家标准、行业标准的协调情况</w:t>
      </w:r>
    </w:p>
    <w:p w14:paraId="03FE614D">
      <w:pPr>
        <w:keepNext w:val="0"/>
        <w:keepLines w:val="0"/>
        <w:pageBreakBefore w:val="0"/>
        <w:kinsoku/>
        <w:overflowPunct/>
        <w:topLinePunct w:val="0"/>
        <w:bidi w:val="0"/>
        <w:snapToGrid/>
        <w:ind w:left="0" w:firstLine="640" w:firstLineChars="200"/>
        <w:textAlignment w:val="auto"/>
        <w:rPr>
          <w:rFonts w:eastAsia="仿宋"/>
          <w:color w:val="auto"/>
          <w:sz w:val="32"/>
          <w:szCs w:val="32"/>
          <w:highlight w:val="none"/>
        </w:rPr>
      </w:pPr>
      <w:r>
        <w:rPr>
          <w:rFonts w:hint="eastAsia" w:eastAsia="仿宋"/>
          <w:color w:val="auto"/>
          <w:sz w:val="32"/>
          <w:szCs w:val="32"/>
          <w:highlight w:val="none"/>
        </w:rPr>
        <w:t>本编制工作组承诺本标准内容与各项指标不违反相关法律法规要求，且不低于国家强制性标准、推荐性国家标准和行业标准要求。</w:t>
      </w:r>
    </w:p>
    <w:p w14:paraId="1EAFDEF8">
      <w:pPr>
        <w:keepNext w:val="0"/>
        <w:keepLines w:val="0"/>
        <w:pageBreakBefore w:val="0"/>
        <w:kinsoku/>
        <w:overflowPunct/>
        <w:topLinePunct w:val="0"/>
        <w:bidi w:val="0"/>
        <w:snapToGrid/>
        <w:spacing w:line="560" w:lineRule="exact"/>
        <w:ind w:left="0" w:firstLine="640" w:firstLineChars="200"/>
        <w:textAlignment w:val="auto"/>
        <w:rPr>
          <w:rFonts w:hint="eastAsia" w:ascii="仿宋_GB2312" w:hAnsi="宋体" w:eastAsia="仿宋_GB2312"/>
          <w:color w:val="auto"/>
          <w:sz w:val="32"/>
          <w:szCs w:val="28"/>
          <w:highlight w:val="none"/>
        </w:rPr>
      </w:pPr>
      <w:r>
        <w:rPr>
          <w:rFonts w:hint="eastAsia" w:ascii="仿宋_GB2312" w:hAnsi="宋体" w:eastAsia="仿宋_GB2312"/>
          <w:color w:val="auto"/>
          <w:sz w:val="32"/>
          <w:szCs w:val="28"/>
          <w:highlight w:val="none"/>
        </w:rPr>
        <w:t>经查阅，与“糖料蔗</w:t>
      </w:r>
      <w:r>
        <w:rPr>
          <w:rFonts w:hint="eastAsia" w:ascii="仿宋_GB2312" w:hAnsi="宋体"/>
          <w:color w:val="auto"/>
          <w:sz w:val="32"/>
          <w:szCs w:val="28"/>
          <w:highlight w:val="none"/>
          <w:lang w:val="en-US" w:eastAsia="zh-CN"/>
        </w:rPr>
        <w:t>/甘蔗”“</w:t>
      </w:r>
      <w:r>
        <w:rPr>
          <w:rFonts w:hint="eastAsia" w:ascii="仿宋_GB2312" w:hAnsi="宋体" w:eastAsia="仿宋_GB2312"/>
          <w:color w:val="auto"/>
          <w:sz w:val="32"/>
          <w:szCs w:val="28"/>
          <w:highlight w:val="none"/>
        </w:rPr>
        <w:t>机械化</w:t>
      </w:r>
      <w:r>
        <w:rPr>
          <w:rFonts w:hint="eastAsia" w:ascii="仿宋_GB2312" w:hAnsi="宋体"/>
          <w:color w:val="auto"/>
          <w:sz w:val="32"/>
          <w:szCs w:val="28"/>
          <w:highlight w:val="none"/>
          <w:lang w:eastAsia="zh-CN"/>
        </w:rPr>
        <w:t>”“</w:t>
      </w:r>
      <w:r>
        <w:rPr>
          <w:rFonts w:hint="eastAsia" w:ascii="仿宋_GB2312" w:hAnsi="宋体" w:eastAsia="仿宋_GB2312"/>
          <w:color w:val="auto"/>
          <w:sz w:val="32"/>
          <w:szCs w:val="28"/>
          <w:highlight w:val="none"/>
        </w:rPr>
        <w:t>栽培</w:t>
      </w:r>
      <w:r>
        <w:rPr>
          <w:rFonts w:hint="eastAsia" w:ascii="仿宋_GB2312" w:hAnsi="宋体"/>
          <w:color w:val="auto"/>
          <w:sz w:val="32"/>
          <w:szCs w:val="28"/>
          <w:highlight w:val="none"/>
          <w:lang w:val="en-US" w:eastAsia="zh-CN"/>
        </w:rPr>
        <w:t>/</w:t>
      </w:r>
      <w:r>
        <w:rPr>
          <w:rFonts w:hint="eastAsia" w:ascii="仿宋_GB2312" w:hAnsi="宋体" w:eastAsia="仿宋_GB2312"/>
          <w:color w:val="auto"/>
          <w:sz w:val="32"/>
          <w:szCs w:val="28"/>
          <w:highlight w:val="none"/>
        </w:rPr>
        <w:t>种植”有关的标准</w:t>
      </w:r>
      <w:r>
        <w:rPr>
          <w:rFonts w:hint="eastAsia" w:ascii="仿宋_GB2312" w:hAnsi="宋体"/>
          <w:color w:val="auto"/>
          <w:sz w:val="32"/>
          <w:szCs w:val="28"/>
          <w:highlight w:val="none"/>
          <w:lang w:val="en-US" w:eastAsia="zh-CN"/>
        </w:rPr>
        <w:t>主要</w:t>
      </w:r>
      <w:r>
        <w:rPr>
          <w:rFonts w:hint="eastAsia" w:ascii="仿宋_GB2312" w:hAnsi="宋体" w:eastAsia="仿宋_GB2312"/>
          <w:color w:val="auto"/>
          <w:sz w:val="32"/>
          <w:szCs w:val="28"/>
          <w:highlight w:val="none"/>
        </w:rPr>
        <w:t>有：</w:t>
      </w:r>
    </w:p>
    <w:p w14:paraId="753754A3">
      <w:pPr>
        <w:pStyle w:val="35"/>
        <w:ind w:firstLine="420"/>
        <w:rPr>
          <w:rFonts w:hint="eastAsia" w:ascii="仿宋_GB2312" w:hAnsi="宋体" w:eastAsia="仿宋_GB2312"/>
          <w:color w:val="auto"/>
          <w:sz w:val="32"/>
          <w:szCs w:val="28"/>
          <w:highlight w:val="none"/>
          <w:lang w:eastAsia="zh-CN"/>
        </w:rPr>
      </w:pPr>
      <w:r>
        <w:rPr>
          <w:rFonts w:hint="eastAsia" w:ascii="仿宋_GB2312" w:hAnsi="宋体"/>
          <w:color w:val="auto"/>
          <w:sz w:val="32"/>
          <w:szCs w:val="28"/>
          <w:highlight w:val="none"/>
          <w:lang w:eastAsia="zh-CN"/>
        </w:rPr>
        <w:t>《</w:t>
      </w:r>
      <w:r>
        <w:rPr>
          <w:rFonts w:hint="eastAsia" w:ascii="仿宋_GB2312" w:hAnsi="宋体" w:eastAsia="仿宋_GB2312" w:cs="Times New Roman"/>
          <w:color w:val="auto"/>
          <w:kern w:val="2"/>
          <w:sz w:val="32"/>
          <w:szCs w:val="28"/>
          <w:highlight w:val="none"/>
          <w:lang w:val="en-US" w:eastAsia="zh-CN" w:bidi="ar-SA"/>
        </w:rPr>
        <w:t>GB/T 19566-2025  旱地糖料甘蔗高产栽培技术规程》《NY/T 3889-2021  甘蔗全程机械化生产技术规范</w:t>
      </w:r>
      <w:r>
        <w:rPr>
          <w:rFonts w:hint="eastAsia" w:ascii="仿宋_GB2312" w:hAnsi="宋体"/>
          <w:color w:val="auto"/>
          <w:sz w:val="32"/>
          <w:szCs w:val="28"/>
          <w:highlight w:val="none"/>
          <w:lang w:eastAsia="zh-CN"/>
        </w:rPr>
        <w:t>》《</w:t>
      </w:r>
      <w:r>
        <w:rPr>
          <w:rFonts w:hint="eastAsia" w:ascii="仿宋_GB2312" w:hAnsi="宋体" w:eastAsia="仿宋_GB2312"/>
          <w:color w:val="auto"/>
          <w:sz w:val="32"/>
          <w:szCs w:val="28"/>
          <w:highlight w:val="none"/>
        </w:rPr>
        <w:t>T/GXAS 624-2023  糖料蔗收后即管破垄施肥起垄一体化作业规范》《T/GXAF 0004-2021  糖料蔗化肥施用限量》《T/CAMA 39-2021  糖料蔗现代农场全程机械化生产技术规程》</w:t>
      </w:r>
      <w:r>
        <w:rPr>
          <w:rFonts w:hint="eastAsia" w:ascii="仿宋_GB2312" w:hAnsi="宋体"/>
          <w:color w:val="auto"/>
          <w:sz w:val="32"/>
          <w:szCs w:val="28"/>
          <w:highlight w:val="none"/>
          <w:lang w:eastAsia="zh-CN"/>
        </w:rPr>
        <w:t>。</w:t>
      </w:r>
    </w:p>
    <w:p w14:paraId="7FA8BB82">
      <w:pPr>
        <w:keepNext w:val="0"/>
        <w:keepLines w:val="0"/>
        <w:pageBreakBefore w:val="0"/>
        <w:kinsoku/>
        <w:overflowPunct/>
        <w:topLinePunct w:val="0"/>
        <w:bidi w:val="0"/>
        <w:snapToGrid/>
        <w:ind w:left="0" w:firstLine="640" w:firstLineChars="200"/>
        <w:textAlignment w:val="auto"/>
        <w:rPr>
          <w:rFonts w:hint="default" w:ascii="仿宋_GB2312" w:hAnsi="宋体" w:eastAsia="仿宋_GB2312"/>
          <w:color w:val="auto"/>
          <w:sz w:val="32"/>
          <w:szCs w:val="28"/>
          <w:highlight w:val="none"/>
          <w:lang w:val="en-US" w:eastAsia="zh-CN"/>
        </w:rPr>
      </w:pPr>
      <w:r>
        <w:rPr>
          <w:rFonts w:hint="eastAsia" w:ascii="仿宋_GB2312" w:hAnsi="宋体" w:eastAsia="仿宋_GB2312"/>
          <w:color w:val="auto"/>
          <w:sz w:val="32"/>
          <w:szCs w:val="28"/>
          <w:highlight w:val="none"/>
        </w:rPr>
        <w:t>综上，现有标准虽有甘蔗机械化种植相关标准，但是对于单芽种茎（苗）的机械化栽培尚未涉及，糖料蔗单芽种茎（苗）机械化栽培作为目前积极推广的甘蔗种植技术，有助于节约蔗种、提升效益。因此制定团体标准《糖料蔗单芽种茎（苗）机械化栽培技术规程》很</w:t>
      </w:r>
      <w:r>
        <w:rPr>
          <w:rFonts w:hint="eastAsia" w:ascii="仿宋_GB2312" w:hAnsi="宋体"/>
          <w:color w:val="auto"/>
          <w:sz w:val="32"/>
          <w:szCs w:val="28"/>
          <w:highlight w:val="none"/>
          <w:lang w:val="en-US" w:eastAsia="zh-CN"/>
        </w:rPr>
        <w:t>有必要。</w:t>
      </w:r>
    </w:p>
    <w:p w14:paraId="14FD2F15">
      <w:pPr>
        <w:keepNext w:val="0"/>
        <w:keepLines w:val="0"/>
        <w:pageBreakBefore w:val="0"/>
        <w:kinsoku/>
        <w:overflowPunct/>
        <w:topLinePunct w:val="0"/>
        <w:autoSpaceDE w:val="0"/>
        <w:autoSpaceDN w:val="0"/>
        <w:bidi w:val="0"/>
        <w:adjustRightInd w:val="0"/>
        <w:snapToGrid/>
        <w:spacing w:line="560" w:lineRule="exact"/>
        <w:ind w:left="0" w:firstLine="640" w:firstLineChars="200"/>
        <w:jc w:val="left"/>
        <w:textAlignment w:val="auto"/>
        <w:rPr>
          <w:rFonts w:ascii="黑体" w:hAnsi="黑体" w:eastAsia="黑体" w:cs="仿宋_GB2312"/>
          <w:color w:val="auto"/>
          <w:sz w:val="32"/>
          <w:szCs w:val="32"/>
          <w:highlight w:val="none"/>
        </w:rPr>
      </w:pPr>
      <w:bookmarkStart w:id="1" w:name="_Toc526940084"/>
      <w:r>
        <w:rPr>
          <w:rFonts w:hint="eastAsia" w:ascii="黑体" w:hAnsi="黑体" w:eastAsia="黑体" w:cs="仿宋_GB2312"/>
          <w:color w:val="auto"/>
          <w:sz w:val="32"/>
          <w:szCs w:val="32"/>
          <w:highlight w:val="none"/>
        </w:rPr>
        <w:t>五、</w:t>
      </w:r>
      <w:bookmarkEnd w:id="1"/>
      <w:r>
        <w:rPr>
          <w:rFonts w:hint="eastAsia" w:ascii="黑体" w:hAnsi="黑体" w:eastAsia="黑体" w:cs="仿宋_GB2312"/>
          <w:color w:val="auto"/>
          <w:sz w:val="32"/>
          <w:szCs w:val="32"/>
          <w:highlight w:val="none"/>
        </w:rPr>
        <w:t>主要条款的说明</w:t>
      </w:r>
    </w:p>
    <w:p w14:paraId="6C1EDCB7">
      <w:pPr>
        <w:keepNext w:val="0"/>
        <w:keepLines w:val="0"/>
        <w:pageBreakBefore w:val="0"/>
        <w:kinsoku/>
        <w:overflowPunct/>
        <w:topLinePunct w:val="0"/>
        <w:bidi w:val="0"/>
        <w:snapToGrid/>
        <w:ind w:left="0" w:firstLine="640" w:firstLineChars="200"/>
        <w:textAlignment w:val="auto"/>
        <w:rPr>
          <w:rFonts w:hint="eastAsia" w:ascii="仿宋_GB2312" w:hAnsi="宋体" w:eastAsia="仿宋_GB2312"/>
          <w:color w:val="auto"/>
          <w:sz w:val="32"/>
          <w:szCs w:val="32"/>
          <w:highlight w:val="none"/>
          <w:lang w:val="zh-CN"/>
        </w:rPr>
      </w:pPr>
      <w:r>
        <w:rPr>
          <w:rFonts w:hint="eastAsia" w:ascii="仿宋_GB2312" w:hAnsi="宋体" w:eastAsia="仿宋_GB2312"/>
          <w:color w:val="auto"/>
          <w:sz w:val="32"/>
          <w:szCs w:val="32"/>
          <w:highlight w:val="none"/>
          <w:lang w:val="zh-CN"/>
        </w:rPr>
        <w:t>团体标准《</w:t>
      </w:r>
      <w:r>
        <w:rPr>
          <w:rFonts w:hint="eastAsia" w:ascii="仿宋_GB2312" w:hAnsi="宋体" w:eastAsia="仿宋_GB2312"/>
          <w:color w:val="auto"/>
          <w:sz w:val="32"/>
          <w:szCs w:val="28"/>
          <w:highlight w:val="none"/>
        </w:rPr>
        <w:t>糖料蔗单芽种茎（苗）机械化栽培技术规程</w:t>
      </w:r>
      <w:r>
        <w:rPr>
          <w:rFonts w:hint="eastAsia" w:ascii="仿宋_GB2312" w:hAnsi="宋体" w:eastAsia="仿宋_GB2312"/>
          <w:color w:val="auto"/>
          <w:sz w:val="32"/>
          <w:szCs w:val="32"/>
          <w:highlight w:val="none"/>
          <w:lang w:val="zh-CN"/>
        </w:rPr>
        <w:t>》的主要章节内容包括：</w:t>
      </w:r>
      <w:r>
        <w:rPr>
          <w:rFonts w:hint="eastAsia" w:ascii="仿宋_GB2312" w:hAnsi="宋体"/>
          <w:color w:val="auto"/>
          <w:sz w:val="32"/>
          <w:szCs w:val="32"/>
          <w:highlight w:val="none"/>
          <w:lang w:val="en-US" w:eastAsia="zh-CN"/>
        </w:rPr>
        <w:t>宜机化改造、耕整地、种植、田间管理、收获、宿根管理</w:t>
      </w:r>
      <w:r>
        <w:rPr>
          <w:rFonts w:hint="eastAsia" w:ascii="仿宋_GB2312" w:hAnsi="宋体" w:eastAsia="仿宋_GB2312"/>
          <w:color w:val="auto"/>
          <w:sz w:val="32"/>
          <w:szCs w:val="32"/>
          <w:highlight w:val="none"/>
          <w:lang w:val="zh-CN"/>
        </w:rPr>
        <w:t>。本文件主要内容及依据来源说明如下：</w:t>
      </w:r>
    </w:p>
    <w:p w14:paraId="40C50225">
      <w:pPr>
        <w:keepNext w:val="0"/>
        <w:keepLines w:val="0"/>
        <w:pageBreakBefore w:val="0"/>
        <w:numPr>
          <w:ilvl w:val="0"/>
          <w:numId w:val="0"/>
        </w:numPr>
        <w:kinsoku/>
        <w:overflowPunct/>
        <w:topLinePunct w:val="0"/>
        <w:bidi w:val="0"/>
        <w:snapToGrid/>
        <w:ind w:left="0" w:leftChars="0" w:firstLine="643" w:firstLineChars="200"/>
        <w:textAlignment w:val="auto"/>
        <w:rPr>
          <w:rFonts w:hint="default" w:ascii="仿宋_GB2312" w:hAnsi="宋体" w:eastAsia="仿宋_GB2312" w:cs="Times New Roman"/>
          <w:b/>
          <w:bCs/>
          <w:color w:val="auto"/>
          <w:kern w:val="2"/>
          <w:sz w:val="32"/>
          <w:szCs w:val="32"/>
          <w:highlight w:val="none"/>
          <w:lang w:val="en-US" w:eastAsia="zh-CN" w:bidi="ar-SA"/>
        </w:rPr>
      </w:pPr>
      <w:r>
        <w:rPr>
          <w:rFonts w:hint="default" w:ascii="仿宋_GB2312" w:hAnsi="宋体" w:eastAsia="仿宋_GB2312" w:cs="Times New Roman"/>
          <w:b/>
          <w:bCs/>
          <w:color w:val="auto"/>
          <w:kern w:val="2"/>
          <w:sz w:val="32"/>
          <w:szCs w:val="32"/>
          <w:highlight w:val="none"/>
          <w:lang w:val="zh-CN" w:eastAsia="zh-CN" w:bidi="ar-SA"/>
        </w:rPr>
        <w:t>（一）</w:t>
      </w:r>
      <w:r>
        <w:rPr>
          <w:rFonts w:hint="eastAsia" w:ascii="仿宋_GB2312" w:hAnsi="宋体" w:eastAsia="仿宋_GB2312" w:cs="Times New Roman"/>
          <w:b/>
          <w:bCs/>
          <w:color w:val="auto"/>
          <w:kern w:val="2"/>
          <w:sz w:val="32"/>
          <w:szCs w:val="32"/>
          <w:highlight w:val="none"/>
          <w:lang w:val="en-US" w:eastAsia="zh-CN" w:bidi="ar-SA"/>
        </w:rPr>
        <w:t>蔗田选择</w:t>
      </w:r>
    </w:p>
    <w:p w14:paraId="1907D0FD">
      <w:pPr>
        <w:pStyle w:val="5"/>
        <w:keepNext w:val="0"/>
        <w:keepLines w:val="0"/>
        <w:widowControl/>
        <w:suppressLineNumbers w:val="0"/>
        <w:spacing w:before="0" w:beforeAutospacing="0" w:after="0" w:afterAutospacing="0"/>
        <w:ind w:left="0" w:right="0" w:firstLine="0"/>
        <w:rPr>
          <w:rFonts w:hint="eastAsia" w:ascii="仿宋_GB2312" w:hAnsi="宋体" w:eastAsia="仿宋_GB2312"/>
          <w:color w:val="auto"/>
          <w:sz w:val="32"/>
          <w:szCs w:val="32"/>
          <w:highlight w:val="none"/>
          <w:lang w:val="zh-CN"/>
        </w:rPr>
      </w:pPr>
      <w:r>
        <w:rPr>
          <w:rFonts w:hint="eastAsia" w:ascii="仿宋_GB2312" w:hAnsi="宋体"/>
          <w:color w:val="auto"/>
          <w:sz w:val="32"/>
          <w:szCs w:val="32"/>
          <w:highlight w:val="none"/>
          <w:lang w:val="en-US" w:eastAsia="zh-CN"/>
        </w:rPr>
        <w:t>起草单位主导起草的国家标准《GB/T 19566-2025 旱地糖料甘蔗高产栽培技术规程》中规定了旱地糖料蔗高产栽培的土壤条件、气候条件。再次基础上，参考行业标准《NYT 1785-2009 甘蔗种茎生产技术规程》中的规定，结合起草单位生产实际确定蔗田选择条件。</w:t>
      </w:r>
      <w:r>
        <w:rPr>
          <w:rFonts w:hint="eastAsia" w:ascii="仿宋_GB2312" w:hAnsi="宋体" w:eastAsia="仿宋_GB2312"/>
          <w:color w:val="auto"/>
          <w:sz w:val="32"/>
          <w:szCs w:val="32"/>
          <w:highlight w:val="none"/>
          <w:lang w:val="zh-CN"/>
        </w:rPr>
        <w:t>蔗田地势平缓</w:t>
      </w:r>
      <w:r>
        <w:rPr>
          <w:rFonts w:hint="eastAsia" w:ascii="仿宋_GB2312" w:hAnsi="宋体"/>
          <w:color w:val="auto"/>
          <w:sz w:val="32"/>
          <w:szCs w:val="32"/>
          <w:highlight w:val="none"/>
          <w:lang w:val="en-US" w:eastAsia="zh-CN"/>
        </w:rPr>
        <w:t>是</w:t>
      </w:r>
      <w:r>
        <w:rPr>
          <w:rFonts w:hint="eastAsia" w:ascii="仿宋_GB2312" w:hAnsi="宋体" w:eastAsia="仿宋_GB2312"/>
          <w:color w:val="auto"/>
          <w:sz w:val="32"/>
          <w:szCs w:val="32"/>
          <w:highlight w:val="none"/>
          <w:lang w:val="zh-CN"/>
        </w:rPr>
        <w:t>机械化耕作</w:t>
      </w:r>
      <w:r>
        <w:rPr>
          <w:rFonts w:hint="eastAsia" w:ascii="仿宋_GB2312" w:hAnsi="宋体"/>
          <w:color w:val="auto"/>
          <w:sz w:val="32"/>
          <w:szCs w:val="32"/>
          <w:highlight w:val="none"/>
          <w:lang w:val="en-US" w:eastAsia="zh-CN"/>
        </w:rPr>
        <w:t>的基本</w:t>
      </w:r>
      <w:r>
        <w:rPr>
          <w:rFonts w:hint="eastAsia" w:ascii="仿宋_GB2312" w:hAnsi="宋体" w:eastAsia="仿宋_GB2312"/>
          <w:color w:val="auto"/>
          <w:sz w:val="32"/>
          <w:szCs w:val="32"/>
          <w:highlight w:val="none"/>
          <w:lang w:val="zh-CN"/>
        </w:rPr>
        <w:t>要求</w:t>
      </w:r>
      <w:r>
        <w:rPr>
          <w:rFonts w:hint="eastAsia" w:ascii="仿宋_GB2312" w:hAnsi="宋体"/>
          <w:color w:val="auto"/>
          <w:sz w:val="32"/>
          <w:szCs w:val="32"/>
          <w:highlight w:val="none"/>
          <w:lang w:val="zh-CN"/>
        </w:rPr>
        <w:t>，</w:t>
      </w:r>
      <w:r>
        <w:rPr>
          <w:rFonts w:hint="eastAsia" w:ascii="仿宋_GB2312" w:hAnsi="宋体"/>
          <w:color w:val="auto"/>
          <w:sz w:val="32"/>
          <w:szCs w:val="32"/>
          <w:highlight w:val="none"/>
          <w:lang w:val="en-US" w:eastAsia="zh-CN"/>
        </w:rPr>
        <w:t>而且</w:t>
      </w:r>
      <w:r>
        <w:rPr>
          <w:rFonts w:hint="eastAsia" w:ascii="仿宋_GB2312" w:hAnsi="宋体" w:eastAsia="仿宋_GB2312"/>
          <w:color w:val="auto"/>
          <w:sz w:val="32"/>
          <w:szCs w:val="32"/>
          <w:highlight w:val="none"/>
          <w:lang w:val="zh-CN"/>
        </w:rPr>
        <w:t>单芽种茎</w:t>
      </w:r>
      <w:r>
        <w:rPr>
          <w:rFonts w:hint="eastAsia" w:ascii="仿宋_GB2312" w:hAnsi="宋体"/>
          <w:color w:val="auto"/>
          <w:sz w:val="32"/>
          <w:szCs w:val="32"/>
          <w:highlight w:val="none"/>
          <w:lang w:val="en-US" w:eastAsia="zh-CN"/>
        </w:rPr>
        <w:t>(苗）</w:t>
      </w:r>
      <w:r>
        <w:rPr>
          <w:rFonts w:hint="eastAsia" w:ascii="仿宋_GB2312" w:hAnsi="宋体" w:eastAsia="仿宋_GB2312"/>
          <w:color w:val="auto"/>
          <w:sz w:val="32"/>
          <w:szCs w:val="32"/>
          <w:highlight w:val="none"/>
          <w:lang w:val="zh-CN"/>
        </w:rPr>
        <w:t>是一种精细化的种苗，对移栽初期的水分管理要求高。蔗田靠近水源且排灌设施完善，能保证及时灌溉，满足单芽种茎生长初期对水分的需求。</w:t>
      </w:r>
    </w:p>
    <w:tbl>
      <w:tblPr>
        <w:tblStyle w:val="7"/>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left w:w="108" w:type="dxa"/>
          <w:right w:w="108" w:type="dxa"/>
        </w:tblCellMar>
      </w:tblPr>
      <w:tblGrid>
        <w:gridCol w:w="9174"/>
      </w:tblGrid>
      <w:tr w14:paraId="7E0A273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left w:w="108" w:type="dxa"/>
            <w:right w:w="108" w:type="dxa"/>
          </w:tblCellMar>
        </w:tblPrEx>
        <w:tc>
          <w:tcPr>
            <w:tcW w:w="9174" w:type="dxa"/>
          </w:tcPr>
          <w:p w14:paraId="688C1696">
            <w:pPr>
              <w:pStyle w:val="5"/>
              <w:keepNext w:val="0"/>
              <w:keepLines w:val="0"/>
              <w:widowControl/>
              <w:suppressLineNumbers w:val="0"/>
              <w:spacing w:before="0" w:beforeAutospacing="0" w:after="0" w:afterAutospacing="0"/>
              <w:ind w:left="0" w:leftChars="0" w:right="0" w:firstLine="0" w:firstLineChars="0"/>
              <w:rPr>
                <w:rFonts w:hint="eastAsia" w:ascii="仿宋_GB2312" w:hAnsi="宋体" w:eastAsia="仿宋_GB2312"/>
                <w:b/>
                <w:bCs/>
                <w:color w:val="auto"/>
                <w:sz w:val="32"/>
                <w:szCs w:val="32"/>
                <w:highlight w:val="none"/>
                <w:vertAlign w:val="baseline"/>
                <w:lang w:val="zh-CN"/>
              </w:rPr>
            </w:pPr>
            <w:r>
              <w:drawing>
                <wp:inline distT="0" distB="0" distL="114300" distR="114300">
                  <wp:extent cx="5681980" cy="1709420"/>
                  <wp:effectExtent l="0" t="0" r="13970" b="508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7"/>
                          <a:stretch>
                            <a:fillRect/>
                          </a:stretch>
                        </pic:blipFill>
                        <pic:spPr>
                          <a:xfrm>
                            <a:off x="0" y="0"/>
                            <a:ext cx="5681980" cy="1709420"/>
                          </a:xfrm>
                          <a:prstGeom prst="rect">
                            <a:avLst/>
                          </a:prstGeom>
                          <a:noFill/>
                          <a:ln>
                            <a:noFill/>
                          </a:ln>
                        </pic:spPr>
                      </pic:pic>
                    </a:graphicData>
                  </a:graphic>
                </wp:inline>
              </w:drawing>
            </w:r>
          </w:p>
        </w:tc>
      </w:tr>
      <w:tr w14:paraId="4478398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left w:w="108" w:type="dxa"/>
            <w:right w:w="108" w:type="dxa"/>
          </w:tblCellMar>
        </w:tblPrEx>
        <w:tc>
          <w:tcPr>
            <w:tcW w:w="9174" w:type="dxa"/>
          </w:tcPr>
          <w:p w14:paraId="03007965">
            <w:pPr>
              <w:pStyle w:val="5"/>
              <w:keepNext w:val="0"/>
              <w:keepLines w:val="0"/>
              <w:widowControl/>
              <w:suppressLineNumbers w:val="0"/>
              <w:spacing w:before="0" w:beforeAutospacing="0" w:after="0" w:afterAutospacing="0"/>
              <w:ind w:left="0" w:leftChars="0" w:right="0" w:firstLine="0" w:firstLineChars="0"/>
              <w:jc w:val="center"/>
              <w:rPr>
                <w:rFonts w:hint="eastAsia" w:ascii="仿宋_GB2312" w:hAnsi="宋体" w:eastAsia="仿宋_GB2312"/>
                <w:color w:val="auto"/>
                <w:sz w:val="32"/>
                <w:szCs w:val="32"/>
                <w:highlight w:val="none"/>
                <w:vertAlign w:val="baseline"/>
                <w:lang w:val="en-US" w:eastAsia="zh-CN"/>
              </w:rPr>
            </w:pPr>
            <w:r>
              <w:rPr>
                <w:rFonts w:hint="eastAsia"/>
                <w:lang w:val="en-US" w:eastAsia="zh-CN"/>
              </w:rPr>
              <w:t>来源：</w:t>
            </w:r>
            <w:r>
              <w:t>GB</w:t>
            </w:r>
            <w:r>
              <w:rPr>
                <w:rFonts w:hint="eastAsia"/>
                <w:lang w:val="en-US" w:eastAsia="zh-CN"/>
              </w:rPr>
              <w:t>/</w:t>
            </w:r>
            <w:r>
              <w:t>T</w:t>
            </w:r>
            <w:r>
              <w:rPr>
                <w:rFonts w:hint="eastAsia"/>
                <w:lang w:val="en-US" w:eastAsia="zh-CN"/>
              </w:rPr>
              <w:t xml:space="preserve"> </w:t>
            </w:r>
            <w:r>
              <w:t>19566-2025 旱地糖料甘蔗高产栽培技术规程</w:t>
            </w:r>
          </w:p>
        </w:tc>
      </w:tr>
    </w:tbl>
    <w:p w14:paraId="3F23DF1E">
      <w:pPr>
        <w:keepNext w:val="0"/>
        <w:keepLines w:val="0"/>
        <w:pageBreakBefore w:val="0"/>
        <w:kinsoku/>
        <w:overflowPunct/>
        <w:topLinePunct w:val="0"/>
        <w:bidi w:val="0"/>
        <w:snapToGrid/>
        <w:ind w:left="0" w:firstLine="643" w:firstLineChars="200"/>
        <w:textAlignment w:val="auto"/>
        <w:rPr>
          <w:rFonts w:hint="eastAsia" w:ascii="仿宋_GB2312" w:hAnsi="宋体" w:eastAsia="仿宋_GB2312" w:cs="Times New Roman"/>
          <w:b/>
          <w:bCs/>
          <w:color w:val="auto"/>
          <w:kern w:val="2"/>
          <w:sz w:val="32"/>
          <w:szCs w:val="32"/>
          <w:highlight w:val="none"/>
          <w:lang w:val="en-US" w:eastAsia="zh-CN" w:bidi="ar-SA"/>
        </w:rPr>
      </w:pPr>
      <w:r>
        <w:rPr>
          <w:rFonts w:hint="eastAsia" w:ascii="仿宋_GB2312" w:hAnsi="宋体" w:eastAsia="仿宋_GB2312" w:cs="Times New Roman"/>
          <w:b/>
          <w:bCs/>
          <w:color w:val="auto"/>
          <w:kern w:val="2"/>
          <w:sz w:val="32"/>
          <w:szCs w:val="32"/>
          <w:highlight w:val="none"/>
          <w:lang w:val="en-US" w:eastAsia="zh-CN" w:bidi="ar-SA"/>
        </w:rPr>
        <w:t>（二）单芽种茎生产</w:t>
      </w:r>
    </w:p>
    <w:p w14:paraId="2A8ACE71">
      <w:pPr>
        <w:keepNext w:val="0"/>
        <w:keepLines w:val="0"/>
        <w:pageBreakBefore w:val="0"/>
        <w:kinsoku/>
        <w:overflowPunct/>
        <w:topLinePunct w:val="0"/>
        <w:bidi w:val="0"/>
        <w:snapToGrid/>
        <w:ind w:left="0" w:firstLine="640" w:firstLineChars="200"/>
        <w:textAlignment w:val="auto"/>
        <w:rPr>
          <w:rFonts w:hint="eastAsia" w:ascii="仿宋_GB2312" w:hAnsi="宋体" w:eastAsia="仿宋_GB2312" w:cs="Times New Roman"/>
          <w:b w:val="0"/>
          <w:bCs w:val="0"/>
          <w:color w:val="auto"/>
          <w:kern w:val="2"/>
          <w:sz w:val="32"/>
          <w:szCs w:val="32"/>
          <w:highlight w:val="none"/>
          <w:lang w:val="en-US" w:eastAsia="zh-CN" w:bidi="ar-SA"/>
        </w:rPr>
      </w:pPr>
      <w:r>
        <w:rPr>
          <w:rFonts w:hint="eastAsia" w:ascii="仿宋_GB2312" w:hAnsi="宋体" w:cs="Times New Roman"/>
          <w:b w:val="0"/>
          <w:bCs w:val="0"/>
          <w:color w:val="auto"/>
          <w:kern w:val="2"/>
          <w:sz w:val="32"/>
          <w:szCs w:val="32"/>
          <w:highlight w:val="none"/>
          <w:lang w:val="en-US" w:eastAsia="zh-CN" w:bidi="ar-SA"/>
        </w:rPr>
        <w:t>2.1</w:t>
      </w:r>
      <w:r>
        <w:rPr>
          <w:rFonts w:hint="eastAsia" w:ascii="仿宋_GB2312" w:hAnsi="宋体" w:eastAsia="仿宋_GB2312" w:cs="Times New Roman"/>
          <w:b w:val="0"/>
          <w:bCs w:val="0"/>
          <w:color w:val="auto"/>
          <w:kern w:val="2"/>
          <w:sz w:val="32"/>
          <w:szCs w:val="32"/>
          <w:highlight w:val="none"/>
          <w:lang w:val="en-US" w:eastAsia="zh-CN" w:bidi="ar-SA"/>
        </w:rPr>
        <w:t>品种选择</w:t>
      </w:r>
    </w:p>
    <w:p w14:paraId="4137511D">
      <w:pPr>
        <w:keepNext w:val="0"/>
        <w:keepLines w:val="0"/>
        <w:pageBreakBefore w:val="0"/>
        <w:kinsoku/>
        <w:overflowPunct/>
        <w:topLinePunct w:val="0"/>
        <w:bidi w:val="0"/>
        <w:snapToGrid/>
        <w:ind w:firstLine="640"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机械化生产不仅依赖最终产量来摊薄高额机械成本，更要求品种具备强宿根性以耐受机械碾压和切割损伤、分蘖力强且茎蘖长势整齐以确保机械作业下仍能获得足够有效茎数及成熟度一致</w:t>
      </w:r>
      <w:r>
        <w:rPr>
          <w:rFonts w:hint="eastAsia" w:ascii="仿宋_GB2312" w:hAnsi="仿宋_GB2312" w:cs="仿宋_GB2312"/>
          <w:color w:val="auto"/>
          <w:sz w:val="32"/>
          <w:szCs w:val="32"/>
          <w:highlight w:val="none"/>
          <w:lang w:val="en-US" w:eastAsia="zh-CN"/>
        </w:rPr>
        <w:t>。</w:t>
      </w:r>
      <w:r>
        <w:rPr>
          <w:rFonts w:hint="eastAsia" w:ascii="仿宋_GB2312" w:hAnsi="仿宋_GB2312" w:eastAsia="仿宋_GB2312" w:cs="仿宋_GB2312"/>
          <w:color w:val="auto"/>
          <w:sz w:val="32"/>
          <w:szCs w:val="32"/>
          <w:highlight w:val="none"/>
          <w:lang w:val="en-US" w:eastAsia="zh-CN"/>
        </w:rPr>
        <w:t>同时直立抗倒、易脱叶的物理性状可显著降低机收损失和含杂率，而品种</w:t>
      </w:r>
      <w:r>
        <w:rPr>
          <w:rFonts w:hint="eastAsia" w:ascii="仿宋_GB2312" w:hAnsi="仿宋_GB2312" w:cs="仿宋_GB2312"/>
          <w:color w:val="auto"/>
          <w:sz w:val="32"/>
          <w:szCs w:val="32"/>
          <w:highlight w:val="none"/>
          <w:lang w:val="en-US" w:eastAsia="zh-CN"/>
        </w:rPr>
        <w:t>通过国家</w:t>
      </w:r>
      <w:r>
        <w:rPr>
          <w:rFonts w:hint="eastAsia" w:ascii="仿宋_GB2312" w:hAnsi="仿宋_GB2312" w:eastAsia="仿宋_GB2312" w:cs="仿宋_GB2312"/>
          <w:color w:val="auto"/>
          <w:sz w:val="32"/>
          <w:szCs w:val="32"/>
          <w:highlight w:val="none"/>
          <w:lang w:val="en-US" w:eastAsia="zh-CN"/>
        </w:rPr>
        <w:t>登记和</w:t>
      </w:r>
      <w:r>
        <w:rPr>
          <w:rFonts w:hint="eastAsia" w:ascii="仿宋_GB2312" w:hAnsi="仿宋_GB2312" w:cs="仿宋_GB2312"/>
          <w:color w:val="auto"/>
          <w:sz w:val="32"/>
          <w:szCs w:val="32"/>
          <w:highlight w:val="none"/>
          <w:lang w:val="en-US" w:eastAsia="zh-CN"/>
        </w:rPr>
        <w:t>满足</w:t>
      </w:r>
      <w:r>
        <w:rPr>
          <w:rFonts w:hint="eastAsia" w:ascii="仿宋_GB2312" w:hAnsi="仿宋_GB2312" w:eastAsia="仿宋_GB2312" w:cs="仿宋_GB2312"/>
          <w:color w:val="auto"/>
          <w:sz w:val="32"/>
          <w:szCs w:val="32"/>
          <w:highlight w:val="none"/>
          <w:lang w:val="en-US" w:eastAsia="zh-CN"/>
        </w:rPr>
        <w:t>本地</w:t>
      </w:r>
      <w:r>
        <w:rPr>
          <w:rFonts w:hint="eastAsia" w:ascii="仿宋_GB2312" w:hAnsi="仿宋_GB2312" w:cs="仿宋_GB2312"/>
          <w:color w:val="auto"/>
          <w:sz w:val="32"/>
          <w:szCs w:val="32"/>
          <w:highlight w:val="none"/>
          <w:lang w:val="en-US" w:eastAsia="zh-CN"/>
        </w:rPr>
        <w:t>环境</w:t>
      </w:r>
      <w:r>
        <w:rPr>
          <w:rFonts w:hint="eastAsia" w:ascii="仿宋_GB2312" w:hAnsi="仿宋_GB2312" w:eastAsia="仿宋_GB2312" w:cs="仿宋_GB2312"/>
          <w:color w:val="auto"/>
          <w:sz w:val="32"/>
          <w:szCs w:val="32"/>
          <w:highlight w:val="none"/>
          <w:lang w:val="en-US" w:eastAsia="zh-CN"/>
        </w:rPr>
        <w:t>适应性</w:t>
      </w:r>
      <w:r>
        <w:rPr>
          <w:rFonts w:hint="eastAsia" w:ascii="仿宋_GB2312" w:hAnsi="仿宋_GB2312" w:cs="仿宋_GB2312"/>
          <w:color w:val="auto"/>
          <w:sz w:val="32"/>
          <w:szCs w:val="32"/>
          <w:highlight w:val="none"/>
          <w:lang w:val="en-US" w:eastAsia="zh-CN"/>
        </w:rPr>
        <w:t>，</w:t>
      </w:r>
      <w:r>
        <w:rPr>
          <w:rFonts w:hint="eastAsia" w:ascii="仿宋_GB2312" w:hAnsi="仿宋_GB2312" w:eastAsia="仿宋_GB2312" w:cs="仿宋_GB2312"/>
          <w:color w:val="auto"/>
          <w:sz w:val="32"/>
          <w:szCs w:val="32"/>
          <w:highlight w:val="none"/>
          <w:lang w:val="en-US" w:eastAsia="zh-CN"/>
        </w:rPr>
        <w:t>是保障上述</w:t>
      </w:r>
      <w:r>
        <w:rPr>
          <w:rFonts w:hint="eastAsia" w:ascii="仿宋_GB2312" w:hAnsi="仿宋_GB2312" w:cs="仿宋_GB2312"/>
          <w:color w:val="auto"/>
          <w:sz w:val="32"/>
          <w:szCs w:val="32"/>
          <w:highlight w:val="none"/>
          <w:lang w:val="en-US" w:eastAsia="zh-CN"/>
        </w:rPr>
        <w:t>优异</w:t>
      </w:r>
      <w:r>
        <w:rPr>
          <w:rFonts w:hint="eastAsia" w:ascii="仿宋_GB2312" w:hAnsi="仿宋_GB2312" w:eastAsia="仿宋_GB2312" w:cs="仿宋_GB2312"/>
          <w:color w:val="auto"/>
          <w:sz w:val="32"/>
          <w:szCs w:val="32"/>
          <w:highlight w:val="none"/>
          <w:lang w:val="en-US" w:eastAsia="zh-CN"/>
        </w:rPr>
        <w:t>性状可靠、发挥品种潜力的</w:t>
      </w:r>
      <w:r>
        <w:rPr>
          <w:rFonts w:hint="eastAsia" w:ascii="仿宋_GB2312" w:hAnsi="仿宋_GB2312" w:cs="仿宋_GB2312"/>
          <w:color w:val="auto"/>
          <w:sz w:val="32"/>
          <w:szCs w:val="32"/>
          <w:highlight w:val="none"/>
          <w:lang w:val="en-US" w:eastAsia="zh-CN"/>
        </w:rPr>
        <w:t>基础</w:t>
      </w:r>
      <w:r>
        <w:rPr>
          <w:rFonts w:hint="eastAsia" w:ascii="仿宋_GB2312" w:hAnsi="仿宋_GB2312" w:eastAsia="仿宋_GB2312" w:cs="仿宋_GB2312"/>
          <w:color w:val="auto"/>
          <w:sz w:val="32"/>
          <w:szCs w:val="32"/>
          <w:highlight w:val="none"/>
          <w:lang w:val="en-US" w:eastAsia="zh-CN"/>
        </w:rPr>
        <w:t>。</w:t>
      </w:r>
    </w:p>
    <w:p w14:paraId="497220D3">
      <w:pPr>
        <w:keepNext w:val="0"/>
        <w:keepLines w:val="0"/>
        <w:pageBreakBefore w:val="0"/>
        <w:kinsoku/>
        <w:overflowPunct/>
        <w:topLinePunct w:val="0"/>
        <w:bidi w:val="0"/>
        <w:snapToGrid/>
        <w:ind w:left="0" w:leftChars="0" w:firstLine="0" w:firstLineChars="0"/>
        <w:jc w:val="center"/>
        <w:textAlignment w:val="auto"/>
        <w:rPr>
          <w:rFonts w:hint="default" w:ascii="仿宋_GB2312" w:hAnsi="仿宋_GB2312" w:eastAsia="仿宋_GB2312" w:cs="仿宋_GB2312"/>
          <w:color w:val="auto"/>
          <w:sz w:val="28"/>
          <w:szCs w:val="28"/>
          <w:highlight w:val="none"/>
          <w:lang w:val="en-US" w:eastAsia="zh-CN"/>
        </w:rPr>
      </w:pPr>
      <w:r>
        <w:rPr>
          <w:rFonts w:hint="eastAsia" w:ascii="仿宋_GB2312" w:hAnsi="仿宋_GB2312" w:cs="仿宋_GB2312"/>
          <w:color w:val="auto"/>
          <w:sz w:val="28"/>
          <w:szCs w:val="28"/>
          <w:highlight w:val="none"/>
          <w:lang w:val="en-US" w:eastAsia="zh-CN"/>
        </w:rPr>
        <w:t>表1 主要推荐糖料蔗登记信息</w:t>
      </w:r>
    </w:p>
    <w:tbl>
      <w:tblPr>
        <w:tblStyle w:val="7"/>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57"/>
        <w:gridCol w:w="1571"/>
        <w:gridCol w:w="2777"/>
        <w:gridCol w:w="2178"/>
        <w:gridCol w:w="2191"/>
      </w:tblGrid>
      <w:tr w14:paraId="0B2E84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8" w:type="pct"/>
            <w:vAlign w:val="center"/>
          </w:tcPr>
          <w:p w14:paraId="73761C12">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ind w:left="0" w:right="0" w:firstLine="0" w:firstLineChars="0"/>
              <w:jc w:val="center"/>
              <w:textAlignment w:val="auto"/>
              <w:rPr>
                <w:rFonts w:hint="default" w:ascii="仿宋_GB2312" w:hAnsi="宋体"/>
                <w:b/>
                <w:bCs/>
                <w:color w:val="auto"/>
                <w:sz w:val="24"/>
                <w:szCs w:val="24"/>
                <w:highlight w:val="none"/>
                <w:vertAlign w:val="baseline"/>
                <w:lang w:val="en-US" w:eastAsia="zh-CN"/>
              </w:rPr>
            </w:pPr>
            <w:r>
              <w:rPr>
                <w:rFonts w:hint="eastAsia" w:ascii="仿宋_GB2312" w:hAnsi="宋体"/>
                <w:b/>
                <w:bCs/>
                <w:color w:val="auto"/>
                <w:sz w:val="24"/>
                <w:szCs w:val="24"/>
                <w:highlight w:val="none"/>
                <w:vertAlign w:val="baseline"/>
                <w:lang w:val="en-US" w:eastAsia="zh-CN"/>
              </w:rPr>
              <w:t>序号</w:t>
            </w:r>
          </w:p>
        </w:tc>
        <w:tc>
          <w:tcPr>
            <w:tcW w:w="857" w:type="pct"/>
            <w:vAlign w:val="center"/>
          </w:tcPr>
          <w:p w14:paraId="126959CA">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ind w:left="0" w:right="0" w:firstLine="0" w:firstLineChars="0"/>
              <w:jc w:val="center"/>
              <w:textAlignment w:val="auto"/>
              <w:rPr>
                <w:rFonts w:hint="default" w:ascii="仿宋_GB2312" w:hAnsi="宋体"/>
                <w:b/>
                <w:bCs/>
                <w:color w:val="auto"/>
                <w:sz w:val="24"/>
                <w:szCs w:val="24"/>
                <w:highlight w:val="none"/>
                <w:vertAlign w:val="baseline"/>
                <w:lang w:val="en-US" w:eastAsia="zh-CN"/>
              </w:rPr>
            </w:pPr>
            <w:r>
              <w:rPr>
                <w:rFonts w:hint="eastAsia" w:ascii="仿宋_GB2312" w:hAnsi="宋体"/>
                <w:b/>
                <w:bCs/>
                <w:color w:val="auto"/>
                <w:sz w:val="24"/>
                <w:szCs w:val="24"/>
                <w:highlight w:val="none"/>
                <w:vertAlign w:val="baseline"/>
                <w:lang w:val="en-US" w:eastAsia="zh-CN"/>
              </w:rPr>
              <w:t>品种</w:t>
            </w:r>
          </w:p>
        </w:tc>
        <w:tc>
          <w:tcPr>
            <w:tcW w:w="1514" w:type="pct"/>
            <w:vAlign w:val="center"/>
          </w:tcPr>
          <w:p w14:paraId="50843BAA">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ind w:left="0" w:right="0" w:firstLine="0" w:firstLineChars="0"/>
              <w:jc w:val="center"/>
              <w:textAlignment w:val="auto"/>
              <w:rPr>
                <w:rFonts w:hint="default" w:ascii="仿宋_GB2312" w:hAnsi="宋体"/>
                <w:b/>
                <w:bCs/>
                <w:color w:val="auto"/>
                <w:sz w:val="24"/>
                <w:szCs w:val="24"/>
                <w:highlight w:val="none"/>
                <w:vertAlign w:val="baseline"/>
                <w:lang w:val="en-US" w:eastAsia="zh-CN"/>
              </w:rPr>
            </w:pPr>
            <w:r>
              <w:rPr>
                <w:rFonts w:hint="eastAsia" w:ascii="仿宋_GB2312" w:hAnsi="宋体"/>
                <w:b/>
                <w:bCs/>
                <w:color w:val="auto"/>
                <w:sz w:val="24"/>
                <w:szCs w:val="24"/>
                <w:highlight w:val="none"/>
                <w:vertAlign w:val="baseline"/>
                <w:lang w:val="en-US" w:eastAsia="zh-CN"/>
              </w:rPr>
              <w:t>登记编号</w:t>
            </w:r>
          </w:p>
        </w:tc>
        <w:tc>
          <w:tcPr>
            <w:tcW w:w="1187" w:type="pct"/>
            <w:vAlign w:val="center"/>
          </w:tcPr>
          <w:p w14:paraId="2161806C">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ind w:left="0" w:right="0" w:firstLine="0" w:firstLineChars="0"/>
              <w:jc w:val="center"/>
              <w:textAlignment w:val="auto"/>
              <w:rPr>
                <w:rFonts w:hint="default" w:ascii="仿宋_GB2312" w:hAnsi="宋体"/>
                <w:b/>
                <w:bCs/>
                <w:color w:val="auto"/>
                <w:sz w:val="24"/>
                <w:szCs w:val="24"/>
                <w:highlight w:val="none"/>
                <w:vertAlign w:val="baseline"/>
                <w:lang w:val="en-US" w:eastAsia="zh-CN"/>
              </w:rPr>
            </w:pPr>
            <w:r>
              <w:rPr>
                <w:rFonts w:hint="eastAsia" w:ascii="仿宋_GB2312" w:hAnsi="宋体"/>
                <w:b/>
                <w:bCs/>
                <w:color w:val="auto"/>
                <w:sz w:val="24"/>
                <w:szCs w:val="24"/>
                <w:highlight w:val="none"/>
                <w:vertAlign w:val="baseline"/>
                <w:lang w:val="en-US" w:eastAsia="zh-CN"/>
              </w:rPr>
              <w:t>登记年份</w:t>
            </w:r>
          </w:p>
        </w:tc>
        <w:tc>
          <w:tcPr>
            <w:tcW w:w="1193" w:type="pct"/>
            <w:vAlign w:val="center"/>
          </w:tcPr>
          <w:p w14:paraId="7B0FFD8D">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ind w:left="0" w:right="0" w:firstLine="0" w:firstLineChars="0"/>
              <w:jc w:val="center"/>
              <w:textAlignment w:val="auto"/>
              <w:rPr>
                <w:rFonts w:hint="default" w:ascii="仿宋_GB2312" w:hAnsi="宋体"/>
                <w:b/>
                <w:bCs/>
                <w:color w:val="auto"/>
                <w:sz w:val="24"/>
                <w:szCs w:val="24"/>
                <w:highlight w:val="none"/>
                <w:vertAlign w:val="baseline"/>
                <w:lang w:val="en-US" w:eastAsia="zh-CN"/>
              </w:rPr>
            </w:pPr>
            <w:r>
              <w:rPr>
                <w:rFonts w:hint="eastAsia" w:ascii="仿宋_GB2312" w:hAnsi="宋体"/>
                <w:b/>
                <w:bCs/>
                <w:color w:val="auto"/>
                <w:sz w:val="24"/>
                <w:szCs w:val="24"/>
                <w:highlight w:val="none"/>
                <w:vertAlign w:val="baseline"/>
                <w:lang w:val="en-US" w:eastAsia="zh-CN"/>
              </w:rPr>
              <w:t>申请单位</w:t>
            </w:r>
          </w:p>
        </w:tc>
      </w:tr>
      <w:tr w14:paraId="73BCD9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8" w:type="pct"/>
            <w:vAlign w:val="center"/>
          </w:tcPr>
          <w:p w14:paraId="268FA93D">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ind w:left="0" w:right="0" w:firstLine="0" w:firstLineChars="0"/>
              <w:jc w:val="center"/>
              <w:textAlignment w:val="auto"/>
              <w:rPr>
                <w:rFonts w:hint="default" w:ascii="仿宋_GB2312" w:hAnsi="宋体"/>
                <w:color w:val="auto"/>
                <w:sz w:val="24"/>
                <w:szCs w:val="24"/>
                <w:highlight w:val="none"/>
                <w:vertAlign w:val="baseline"/>
                <w:lang w:val="en-US" w:eastAsia="zh-CN"/>
              </w:rPr>
            </w:pPr>
            <w:r>
              <w:rPr>
                <w:rFonts w:hint="eastAsia" w:ascii="仿宋_GB2312" w:hAnsi="宋体"/>
                <w:color w:val="auto"/>
                <w:sz w:val="24"/>
                <w:szCs w:val="24"/>
                <w:highlight w:val="none"/>
                <w:vertAlign w:val="baseline"/>
                <w:lang w:val="en-US" w:eastAsia="zh-CN"/>
              </w:rPr>
              <w:t>1</w:t>
            </w:r>
          </w:p>
        </w:tc>
        <w:tc>
          <w:tcPr>
            <w:tcW w:w="857" w:type="pct"/>
            <w:vAlign w:val="center"/>
          </w:tcPr>
          <w:p w14:paraId="551DCEAF">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ind w:left="0" w:right="0" w:firstLine="0" w:firstLineChars="0"/>
              <w:jc w:val="center"/>
              <w:textAlignment w:val="auto"/>
              <w:rPr>
                <w:rFonts w:hint="eastAsia" w:ascii="仿宋_GB2312" w:hAnsi="宋体"/>
                <w:color w:val="auto"/>
                <w:sz w:val="24"/>
                <w:szCs w:val="24"/>
                <w:highlight w:val="none"/>
                <w:vertAlign w:val="baseline"/>
                <w:lang w:val="en-US" w:eastAsia="zh-CN"/>
              </w:rPr>
            </w:pPr>
            <w:r>
              <w:rPr>
                <w:rFonts w:hint="eastAsia" w:ascii="仿宋_GB2312" w:hAnsi="宋体"/>
                <w:color w:val="auto"/>
                <w:sz w:val="24"/>
                <w:szCs w:val="24"/>
                <w:highlight w:val="none"/>
                <w:lang w:val="en-US" w:eastAsia="zh-CN"/>
              </w:rPr>
              <w:t>桂糖44号</w:t>
            </w:r>
          </w:p>
        </w:tc>
        <w:tc>
          <w:tcPr>
            <w:tcW w:w="1514" w:type="pct"/>
            <w:vAlign w:val="center"/>
          </w:tcPr>
          <w:p w14:paraId="5A6F9E14">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ind w:left="0" w:right="0" w:firstLine="0" w:firstLineChars="0"/>
              <w:jc w:val="center"/>
              <w:textAlignment w:val="auto"/>
              <w:rPr>
                <w:rFonts w:hint="eastAsia" w:ascii="仿宋_GB2312" w:hAnsi="宋体"/>
                <w:color w:val="auto"/>
                <w:sz w:val="24"/>
                <w:szCs w:val="24"/>
                <w:highlight w:val="none"/>
                <w:vertAlign w:val="baseline"/>
                <w:lang w:val="en-US" w:eastAsia="zh-CN"/>
              </w:rPr>
            </w:pPr>
            <w:r>
              <w:rPr>
                <w:rFonts w:hint="eastAsia" w:ascii="仿宋_GB2312" w:hAnsi="宋体"/>
                <w:color w:val="auto"/>
                <w:sz w:val="24"/>
                <w:szCs w:val="24"/>
                <w:highlight w:val="none"/>
                <w:vertAlign w:val="baseline"/>
                <w:lang w:val="en-US" w:eastAsia="zh-CN"/>
              </w:rPr>
              <w:t>GPD甘蔗(2018)450010</w:t>
            </w:r>
          </w:p>
        </w:tc>
        <w:tc>
          <w:tcPr>
            <w:tcW w:w="1187" w:type="pct"/>
            <w:vAlign w:val="center"/>
          </w:tcPr>
          <w:p w14:paraId="44755C87">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ind w:left="0" w:right="0" w:firstLine="0" w:firstLineChars="0"/>
              <w:jc w:val="center"/>
              <w:textAlignment w:val="auto"/>
              <w:rPr>
                <w:rFonts w:hint="default" w:ascii="仿宋_GB2312" w:hAnsi="宋体"/>
                <w:color w:val="auto"/>
                <w:sz w:val="24"/>
                <w:szCs w:val="24"/>
                <w:highlight w:val="none"/>
                <w:vertAlign w:val="baseline"/>
                <w:lang w:val="en-US" w:eastAsia="zh-CN"/>
              </w:rPr>
            </w:pPr>
            <w:r>
              <w:rPr>
                <w:rFonts w:hint="eastAsia" w:ascii="仿宋_GB2312" w:hAnsi="宋体"/>
                <w:color w:val="auto"/>
                <w:sz w:val="24"/>
                <w:szCs w:val="24"/>
                <w:highlight w:val="none"/>
                <w:vertAlign w:val="baseline"/>
                <w:lang w:val="en-US" w:eastAsia="zh-CN"/>
              </w:rPr>
              <w:t>2018</w:t>
            </w:r>
          </w:p>
        </w:tc>
        <w:tc>
          <w:tcPr>
            <w:tcW w:w="1193" w:type="pct"/>
            <w:vAlign w:val="center"/>
          </w:tcPr>
          <w:p w14:paraId="76A612CF">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ind w:left="0" w:right="0" w:firstLine="0" w:firstLineChars="0"/>
              <w:jc w:val="center"/>
              <w:textAlignment w:val="auto"/>
              <w:rPr>
                <w:rFonts w:hint="eastAsia" w:ascii="仿宋_GB2312" w:hAnsi="宋体"/>
                <w:color w:val="auto"/>
                <w:sz w:val="24"/>
                <w:szCs w:val="24"/>
                <w:highlight w:val="none"/>
                <w:vertAlign w:val="baseline"/>
                <w:lang w:val="en-US" w:eastAsia="zh-CN"/>
              </w:rPr>
            </w:pPr>
            <w:r>
              <w:rPr>
                <w:rFonts w:hint="eastAsia" w:ascii="仿宋_GB2312" w:hAnsi="宋体"/>
                <w:color w:val="auto"/>
                <w:sz w:val="24"/>
                <w:szCs w:val="24"/>
                <w:highlight w:val="none"/>
                <w:vertAlign w:val="baseline"/>
                <w:lang w:val="en-US" w:eastAsia="zh-CN"/>
              </w:rPr>
              <w:t>广西壮族自治区农业科学院甘蔗研究所</w:t>
            </w:r>
          </w:p>
        </w:tc>
      </w:tr>
      <w:tr w14:paraId="018411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8" w:type="pct"/>
            <w:vAlign w:val="center"/>
          </w:tcPr>
          <w:p w14:paraId="3BA515CE">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ind w:left="0" w:right="0" w:firstLine="0" w:firstLineChars="0"/>
              <w:jc w:val="center"/>
              <w:textAlignment w:val="auto"/>
              <w:rPr>
                <w:rFonts w:hint="default" w:ascii="仿宋_GB2312" w:hAnsi="宋体"/>
                <w:color w:val="auto"/>
                <w:sz w:val="24"/>
                <w:szCs w:val="24"/>
                <w:highlight w:val="none"/>
                <w:vertAlign w:val="baseline"/>
                <w:lang w:val="en-US" w:eastAsia="zh-CN"/>
              </w:rPr>
            </w:pPr>
            <w:r>
              <w:rPr>
                <w:rFonts w:hint="eastAsia" w:ascii="仿宋_GB2312" w:hAnsi="宋体"/>
                <w:color w:val="auto"/>
                <w:sz w:val="24"/>
                <w:szCs w:val="24"/>
                <w:highlight w:val="none"/>
                <w:vertAlign w:val="baseline"/>
                <w:lang w:val="en-US" w:eastAsia="zh-CN"/>
              </w:rPr>
              <w:t>2</w:t>
            </w:r>
          </w:p>
        </w:tc>
        <w:tc>
          <w:tcPr>
            <w:tcW w:w="857" w:type="pct"/>
            <w:vAlign w:val="center"/>
          </w:tcPr>
          <w:p w14:paraId="144F98C3">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ind w:left="0" w:right="0" w:firstLine="0" w:firstLineChars="0"/>
              <w:jc w:val="center"/>
              <w:textAlignment w:val="auto"/>
              <w:rPr>
                <w:rFonts w:hint="eastAsia" w:ascii="仿宋_GB2312" w:hAnsi="宋体"/>
                <w:color w:val="auto"/>
                <w:sz w:val="24"/>
                <w:szCs w:val="24"/>
                <w:highlight w:val="none"/>
                <w:vertAlign w:val="baseline"/>
                <w:lang w:val="en-US" w:eastAsia="zh-CN"/>
              </w:rPr>
            </w:pPr>
            <w:r>
              <w:rPr>
                <w:rFonts w:hint="eastAsia" w:ascii="仿宋_GB2312" w:hAnsi="宋体"/>
                <w:color w:val="auto"/>
                <w:sz w:val="24"/>
                <w:szCs w:val="24"/>
                <w:highlight w:val="none"/>
                <w:lang w:val="en-US" w:eastAsia="zh-CN"/>
              </w:rPr>
              <w:t>桂糖</w:t>
            </w:r>
            <w:r>
              <w:rPr>
                <w:rFonts w:hint="eastAsia" w:ascii="仿宋_GB2312" w:hAnsi="宋体"/>
                <w:color w:val="auto"/>
                <w:sz w:val="24"/>
                <w:szCs w:val="24"/>
                <w:highlight w:val="none"/>
                <w:lang w:val="en-US" w:eastAsia="zh-CN"/>
              </w:rPr>
              <w:t>49</w:t>
            </w:r>
            <w:r>
              <w:rPr>
                <w:rFonts w:hint="eastAsia" w:ascii="仿宋_GB2312" w:hAnsi="宋体"/>
                <w:color w:val="auto"/>
                <w:sz w:val="24"/>
                <w:szCs w:val="24"/>
                <w:highlight w:val="none"/>
                <w:lang w:val="en-US" w:eastAsia="zh-CN"/>
              </w:rPr>
              <w:t>号</w:t>
            </w:r>
          </w:p>
        </w:tc>
        <w:tc>
          <w:tcPr>
            <w:tcW w:w="1514" w:type="pct"/>
            <w:vAlign w:val="center"/>
          </w:tcPr>
          <w:p w14:paraId="70342D52">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ind w:left="0" w:right="0" w:firstLine="0" w:firstLineChars="0"/>
              <w:jc w:val="center"/>
              <w:textAlignment w:val="auto"/>
              <w:rPr>
                <w:rFonts w:hint="eastAsia" w:ascii="仿宋_GB2312" w:hAnsi="宋体"/>
                <w:color w:val="auto"/>
                <w:sz w:val="24"/>
                <w:szCs w:val="24"/>
                <w:highlight w:val="none"/>
                <w:vertAlign w:val="baseline"/>
                <w:lang w:val="en-US" w:eastAsia="zh-CN"/>
              </w:rPr>
            </w:pPr>
            <w:r>
              <w:rPr>
                <w:rFonts w:hint="eastAsia" w:ascii="仿宋_GB2312" w:hAnsi="宋体"/>
                <w:color w:val="auto"/>
                <w:sz w:val="24"/>
                <w:szCs w:val="24"/>
                <w:highlight w:val="none"/>
                <w:vertAlign w:val="baseline"/>
                <w:lang w:val="en-US" w:eastAsia="zh-CN"/>
              </w:rPr>
              <w:t>GPD甘蔗(2019)450016</w:t>
            </w:r>
          </w:p>
        </w:tc>
        <w:tc>
          <w:tcPr>
            <w:tcW w:w="1187" w:type="pct"/>
            <w:vAlign w:val="center"/>
          </w:tcPr>
          <w:p w14:paraId="504E3A04">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ind w:left="0" w:right="0" w:firstLine="0" w:firstLineChars="0"/>
              <w:jc w:val="center"/>
              <w:textAlignment w:val="auto"/>
              <w:rPr>
                <w:rFonts w:hint="default" w:ascii="仿宋_GB2312" w:hAnsi="宋体"/>
                <w:color w:val="auto"/>
                <w:sz w:val="24"/>
                <w:szCs w:val="24"/>
                <w:highlight w:val="none"/>
                <w:vertAlign w:val="baseline"/>
                <w:lang w:val="en-US" w:eastAsia="zh-CN"/>
              </w:rPr>
            </w:pPr>
            <w:r>
              <w:rPr>
                <w:rFonts w:hint="eastAsia" w:ascii="仿宋_GB2312" w:hAnsi="宋体"/>
                <w:color w:val="auto"/>
                <w:sz w:val="24"/>
                <w:szCs w:val="24"/>
                <w:highlight w:val="none"/>
                <w:vertAlign w:val="baseline"/>
                <w:lang w:val="en-US" w:eastAsia="zh-CN"/>
              </w:rPr>
              <w:t>2019</w:t>
            </w:r>
          </w:p>
        </w:tc>
        <w:tc>
          <w:tcPr>
            <w:tcW w:w="1193" w:type="pct"/>
            <w:vAlign w:val="center"/>
          </w:tcPr>
          <w:p w14:paraId="4EA62BE2">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ind w:left="0" w:right="0" w:firstLine="0" w:firstLineChars="0"/>
              <w:jc w:val="center"/>
              <w:textAlignment w:val="auto"/>
              <w:rPr>
                <w:rFonts w:hint="eastAsia" w:ascii="仿宋_GB2312" w:hAnsi="宋体"/>
                <w:color w:val="auto"/>
                <w:sz w:val="24"/>
                <w:szCs w:val="24"/>
                <w:highlight w:val="none"/>
                <w:vertAlign w:val="baseline"/>
                <w:lang w:val="en-US" w:eastAsia="zh-CN"/>
              </w:rPr>
            </w:pPr>
            <w:r>
              <w:rPr>
                <w:rFonts w:hint="eastAsia" w:ascii="仿宋_GB2312" w:hAnsi="宋体"/>
                <w:color w:val="auto"/>
                <w:sz w:val="24"/>
                <w:szCs w:val="24"/>
                <w:highlight w:val="none"/>
                <w:vertAlign w:val="baseline"/>
                <w:lang w:val="en-US" w:eastAsia="zh-CN"/>
              </w:rPr>
              <w:t>广西壮族自治区农业科学院甘蔗研究所</w:t>
            </w:r>
          </w:p>
        </w:tc>
      </w:tr>
      <w:tr w14:paraId="23686B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8" w:type="pct"/>
            <w:vAlign w:val="center"/>
          </w:tcPr>
          <w:p w14:paraId="484140B7">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ind w:left="0" w:right="0" w:firstLine="0" w:firstLineChars="0"/>
              <w:jc w:val="center"/>
              <w:textAlignment w:val="auto"/>
              <w:rPr>
                <w:rFonts w:hint="default" w:ascii="仿宋_GB2312" w:hAnsi="宋体"/>
                <w:color w:val="auto"/>
                <w:sz w:val="24"/>
                <w:szCs w:val="24"/>
                <w:highlight w:val="none"/>
                <w:vertAlign w:val="baseline"/>
                <w:lang w:val="en-US" w:eastAsia="zh-CN"/>
              </w:rPr>
            </w:pPr>
            <w:r>
              <w:rPr>
                <w:rFonts w:hint="eastAsia" w:ascii="仿宋_GB2312" w:hAnsi="宋体"/>
                <w:color w:val="auto"/>
                <w:sz w:val="24"/>
                <w:szCs w:val="24"/>
                <w:highlight w:val="none"/>
                <w:vertAlign w:val="baseline"/>
                <w:lang w:val="en-US" w:eastAsia="zh-CN"/>
              </w:rPr>
              <w:t>3</w:t>
            </w:r>
          </w:p>
        </w:tc>
        <w:tc>
          <w:tcPr>
            <w:tcW w:w="857" w:type="pct"/>
            <w:vAlign w:val="center"/>
          </w:tcPr>
          <w:p w14:paraId="78EB2742">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ind w:left="0" w:right="0" w:firstLine="0" w:firstLineChars="0"/>
              <w:jc w:val="center"/>
              <w:textAlignment w:val="auto"/>
              <w:rPr>
                <w:rFonts w:hint="eastAsia" w:ascii="仿宋_GB2312" w:hAnsi="宋体"/>
                <w:color w:val="auto"/>
                <w:sz w:val="24"/>
                <w:szCs w:val="24"/>
                <w:highlight w:val="none"/>
                <w:vertAlign w:val="baseline"/>
                <w:lang w:val="en-US" w:eastAsia="zh-CN"/>
              </w:rPr>
            </w:pPr>
            <w:r>
              <w:rPr>
                <w:rFonts w:hint="eastAsia" w:ascii="仿宋_GB2312" w:hAnsi="宋体"/>
                <w:color w:val="auto"/>
                <w:sz w:val="24"/>
                <w:szCs w:val="24"/>
                <w:highlight w:val="none"/>
                <w:lang w:val="en-US" w:eastAsia="zh-CN"/>
              </w:rPr>
              <w:t>桂糖55号</w:t>
            </w:r>
          </w:p>
        </w:tc>
        <w:tc>
          <w:tcPr>
            <w:tcW w:w="1514" w:type="pct"/>
            <w:vAlign w:val="center"/>
          </w:tcPr>
          <w:p w14:paraId="2E57F6E9">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ind w:left="0" w:right="0" w:firstLine="0" w:firstLineChars="0"/>
              <w:jc w:val="center"/>
              <w:textAlignment w:val="auto"/>
              <w:rPr>
                <w:rFonts w:hint="eastAsia" w:ascii="仿宋_GB2312" w:hAnsi="宋体"/>
                <w:color w:val="auto"/>
                <w:sz w:val="24"/>
                <w:szCs w:val="24"/>
                <w:highlight w:val="none"/>
                <w:vertAlign w:val="baseline"/>
                <w:lang w:val="en-US" w:eastAsia="zh-CN"/>
              </w:rPr>
            </w:pPr>
            <w:r>
              <w:rPr>
                <w:rFonts w:hint="eastAsia" w:ascii="仿宋_GB2312" w:hAnsi="宋体"/>
                <w:color w:val="auto"/>
                <w:sz w:val="24"/>
                <w:szCs w:val="24"/>
                <w:highlight w:val="none"/>
                <w:vertAlign w:val="baseline"/>
                <w:lang w:val="en-US" w:eastAsia="zh-CN"/>
              </w:rPr>
              <w:t>GPD甘蔗(2019)450020</w:t>
            </w:r>
          </w:p>
        </w:tc>
        <w:tc>
          <w:tcPr>
            <w:tcW w:w="1187" w:type="pct"/>
            <w:vAlign w:val="center"/>
          </w:tcPr>
          <w:p w14:paraId="7AE55B9C">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ind w:left="0" w:right="0" w:firstLine="0" w:firstLineChars="0"/>
              <w:jc w:val="center"/>
              <w:textAlignment w:val="auto"/>
              <w:rPr>
                <w:rFonts w:hint="default" w:ascii="仿宋_GB2312" w:hAnsi="宋体"/>
                <w:color w:val="auto"/>
                <w:sz w:val="24"/>
                <w:szCs w:val="24"/>
                <w:highlight w:val="none"/>
                <w:vertAlign w:val="baseline"/>
                <w:lang w:val="en-US" w:eastAsia="zh-CN"/>
              </w:rPr>
            </w:pPr>
            <w:r>
              <w:rPr>
                <w:rFonts w:hint="eastAsia" w:ascii="仿宋_GB2312" w:hAnsi="宋体"/>
                <w:color w:val="auto"/>
                <w:sz w:val="24"/>
                <w:szCs w:val="24"/>
                <w:highlight w:val="none"/>
                <w:vertAlign w:val="baseline"/>
                <w:lang w:val="en-US" w:eastAsia="zh-CN"/>
              </w:rPr>
              <w:t>2019</w:t>
            </w:r>
          </w:p>
        </w:tc>
        <w:tc>
          <w:tcPr>
            <w:tcW w:w="1193" w:type="pct"/>
            <w:vAlign w:val="center"/>
          </w:tcPr>
          <w:p w14:paraId="0DFAFF45">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ind w:left="0" w:right="0" w:firstLine="0" w:firstLineChars="0"/>
              <w:jc w:val="center"/>
              <w:textAlignment w:val="auto"/>
              <w:rPr>
                <w:rFonts w:hint="eastAsia" w:ascii="仿宋_GB2312" w:hAnsi="宋体"/>
                <w:color w:val="auto"/>
                <w:sz w:val="24"/>
                <w:szCs w:val="24"/>
                <w:highlight w:val="none"/>
                <w:vertAlign w:val="baseline"/>
                <w:lang w:val="en-US" w:eastAsia="zh-CN"/>
              </w:rPr>
            </w:pPr>
            <w:r>
              <w:rPr>
                <w:rFonts w:hint="eastAsia" w:ascii="仿宋_GB2312" w:hAnsi="宋体"/>
                <w:color w:val="auto"/>
                <w:sz w:val="24"/>
                <w:szCs w:val="24"/>
                <w:highlight w:val="none"/>
                <w:vertAlign w:val="baseline"/>
                <w:lang w:val="en-US" w:eastAsia="zh-CN"/>
              </w:rPr>
              <w:t>广西壮族自治区农业科学院甘蔗研究所</w:t>
            </w:r>
          </w:p>
        </w:tc>
      </w:tr>
      <w:tr w14:paraId="678DCA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8" w:type="pct"/>
            <w:vAlign w:val="center"/>
          </w:tcPr>
          <w:p w14:paraId="5DD7F5A5">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ind w:left="0" w:right="0" w:firstLine="0" w:firstLineChars="0"/>
              <w:jc w:val="center"/>
              <w:textAlignment w:val="auto"/>
              <w:rPr>
                <w:rFonts w:hint="default" w:ascii="仿宋_GB2312" w:hAnsi="宋体"/>
                <w:color w:val="auto"/>
                <w:sz w:val="24"/>
                <w:szCs w:val="24"/>
                <w:highlight w:val="none"/>
                <w:vertAlign w:val="baseline"/>
                <w:lang w:val="en-US" w:eastAsia="zh-CN"/>
              </w:rPr>
            </w:pPr>
            <w:r>
              <w:rPr>
                <w:rFonts w:hint="eastAsia" w:ascii="仿宋_GB2312" w:hAnsi="宋体"/>
                <w:color w:val="auto"/>
                <w:sz w:val="24"/>
                <w:szCs w:val="24"/>
                <w:highlight w:val="none"/>
                <w:vertAlign w:val="baseline"/>
                <w:lang w:val="en-US" w:eastAsia="zh-CN"/>
              </w:rPr>
              <w:t>4</w:t>
            </w:r>
          </w:p>
        </w:tc>
        <w:tc>
          <w:tcPr>
            <w:tcW w:w="857" w:type="pct"/>
            <w:vAlign w:val="center"/>
          </w:tcPr>
          <w:p w14:paraId="47F43C5C">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ind w:left="0" w:right="0" w:firstLine="0" w:firstLineChars="0"/>
              <w:jc w:val="center"/>
              <w:textAlignment w:val="auto"/>
              <w:rPr>
                <w:rFonts w:hint="eastAsia" w:ascii="仿宋_GB2312" w:hAnsi="宋体"/>
                <w:color w:val="auto"/>
                <w:sz w:val="24"/>
                <w:szCs w:val="24"/>
                <w:highlight w:val="none"/>
                <w:lang w:val="en-US" w:eastAsia="zh-CN"/>
              </w:rPr>
            </w:pPr>
            <w:r>
              <w:rPr>
                <w:rFonts w:hint="eastAsia" w:ascii="仿宋_GB2312" w:hAnsi="宋体"/>
                <w:color w:val="auto"/>
                <w:sz w:val="24"/>
                <w:szCs w:val="24"/>
                <w:highlight w:val="none"/>
                <w:lang w:val="en-US" w:eastAsia="zh-CN"/>
              </w:rPr>
              <w:t>桂糖76号</w:t>
            </w:r>
          </w:p>
        </w:tc>
        <w:tc>
          <w:tcPr>
            <w:tcW w:w="1514" w:type="pct"/>
            <w:vAlign w:val="center"/>
          </w:tcPr>
          <w:p w14:paraId="0057963C">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ind w:left="0" w:right="0" w:firstLine="0" w:firstLineChars="0"/>
              <w:jc w:val="center"/>
              <w:textAlignment w:val="auto"/>
              <w:rPr>
                <w:rFonts w:hint="eastAsia" w:ascii="仿宋_GB2312" w:hAnsi="宋体"/>
                <w:color w:val="auto"/>
                <w:sz w:val="24"/>
                <w:szCs w:val="24"/>
                <w:highlight w:val="none"/>
                <w:vertAlign w:val="baseline"/>
                <w:lang w:val="en-US" w:eastAsia="zh-CN"/>
              </w:rPr>
            </w:pPr>
            <w:r>
              <w:rPr>
                <w:rFonts w:hint="eastAsia" w:ascii="仿宋_GB2312" w:hAnsi="宋体"/>
                <w:color w:val="auto"/>
                <w:sz w:val="24"/>
                <w:szCs w:val="24"/>
                <w:highlight w:val="none"/>
                <w:vertAlign w:val="baseline"/>
                <w:lang w:val="en-US" w:eastAsia="zh-CN"/>
              </w:rPr>
              <w:t>GPD甘蔗(2025)450009</w:t>
            </w:r>
          </w:p>
        </w:tc>
        <w:tc>
          <w:tcPr>
            <w:tcW w:w="1187" w:type="pct"/>
            <w:vAlign w:val="center"/>
          </w:tcPr>
          <w:p w14:paraId="28B72D3B">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ind w:left="0" w:right="0" w:firstLine="0" w:firstLineChars="0"/>
              <w:jc w:val="center"/>
              <w:textAlignment w:val="auto"/>
              <w:rPr>
                <w:rFonts w:hint="default" w:ascii="仿宋_GB2312" w:hAnsi="宋体"/>
                <w:color w:val="auto"/>
                <w:sz w:val="24"/>
                <w:szCs w:val="24"/>
                <w:highlight w:val="none"/>
                <w:vertAlign w:val="baseline"/>
                <w:lang w:val="en-US" w:eastAsia="zh-CN"/>
              </w:rPr>
            </w:pPr>
            <w:r>
              <w:rPr>
                <w:rFonts w:hint="eastAsia" w:ascii="仿宋_GB2312" w:hAnsi="宋体"/>
                <w:color w:val="auto"/>
                <w:sz w:val="24"/>
                <w:szCs w:val="24"/>
                <w:highlight w:val="none"/>
                <w:vertAlign w:val="baseline"/>
                <w:lang w:val="en-US" w:eastAsia="zh-CN"/>
              </w:rPr>
              <w:t>2025</w:t>
            </w:r>
          </w:p>
        </w:tc>
        <w:tc>
          <w:tcPr>
            <w:tcW w:w="1193" w:type="pct"/>
            <w:vAlign w:val="center"/>
          </w:tcPr>
          <w:p w14:paraId="0407D225">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ind w:left="0" w:right="0" w:firstLine="0" w:firstLineChars="0"/>
              <w:jc w:val="center"/>
              <w:textAlignment w:val="auto"/>
              <w:rPr>
                <w:rFonts w:hint="eastAsia" w:ascii="仿宋_GB2312" w:hAnsi="宋体"/>
                <w:color w:val="auto"/>
                <w:sz w:val="24"/>
                <w:szCs w:val="24"/>
                <w:highlight w:val="none"/>
                <w:vertAlign w:val="baseline"/>
                <w:lang w:val="en-US" w:eastAsia="zh-CN"/>
              </w:rPr>
            </w:pPr>
            <w:r>
              <w:rPr>
                <w:rFonts w:hint="eastAsia" w:ascii="仿宋_GB2312" w:hAnsi="宋体"/>
                <w:color w:val="auto"/>
                <w:sz w:val="24"/>
                <w:szCs w:val="24"/>
                <w:highlight w:val="none"/>
                <w:vertAlign w:val="baseline"/>
                <w:lang w:val="en-US" w:eastAsia="zh-CN"/>
              </w:rPr>
              <w:t>广西壮族自治区农业科学院</w:t>
            </w:r>
          </w:p>
        </w:tc>
      </w:tr>
      <w:tr w14:paraId="2F0DE3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8" w:type="pct"/>
            <w:vAlign w:val="center"/>
          </w:tcPr>
          <w:p w14:paraId="59AB2CBC">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ind w:left="0" w:right="0" w:firstLine="0" w:firstLineChars="0"/>
              <w:jc w:val="center"/>
              <w:textAlignment w:val="auto"/>
              <w:rPr>
                <w:rFonts w:hint="eastAsia" w:ascii="仿宋_GB2312" w:hAnsi="宋体"/>
                <w:color w:val="auto"/>
                <w:sz w:val="24"/>
                <w:szCs w:val="24"/>
                <w:highlight w:val="none"/>
                <w:vertAlign w:val="baseline"/>
                <w:lang w:val="en-US" w:eastAsia="zh-CN"/>
              </w:rPr>
            </w:pPr>
            <w:r>
              <w:rPr>
                <w:rFonts w:hint="eastAsia" w:ascii="仿宋_GB2312" w:hAnsi="宋体"/>
                <w:color w:val="auto"/>
                <w:sz w:val="24"/>
                <w:szCs w:val="24"/>
                <w:highlight w:val="none"/>
                <w:vertAlign w:val="baseline"/>
                <w:lang w:val="en-US" w:eastAsia="zh-CN"/>
              </w:rPr>
              <w:t>5</w:t>
            </w:r>
          </w:p>
        </w:tc>
        <w:tc>
          <w:tcPr>
            <w:tcW w:w="857" w:type="pct"/>
            <w:vAlign w:val="center"/>
          </w:tcPr>
          <w:p w14:paraId="6D782552">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ind w:left="0" w:right="0" w:firstLine="0" w:firstLineChars="0"/>
              <w:jc w:val="center"/>
              <w:textAlignment w:val="auto"/>
              <w:rPr>
                <w:rFonts w:hint="eastAsia" w:ascii="仿宋_GB2312" w:hAnsi="宋体"/>
                <w:color w:val="auto"/>
                <w:sz w:val="24"/>
                <w:szCs w:val="24"/>
                <w:highlight w:val="none"/>
                <w:lang w:val="en-US" w:eastAsia="zh-CN"/>
              </w:rPr>
            </w:pPr>
            <w:r>
              <w:rPr>
                <w:rFonts w:hint="eastAsia" w:ascii="仿宋_GB2312" w:hAnsi="宋体"/>
                <w:color w:val="auto"/>
                <w:sz w:val="24"/>
                <w:szCs w:val="24"/>
                <w:highlight w:val="none"/>
                <w:lang w:val="en-US" w:eastAsia="zh-CN"/>
              </w:rPr>
              <w:t>云蔗081609</w:t>
            </w:r>
          </w:p>
        </w:tc>
        <w:tc>
          <w:tcPr>
            <w:tcW w:w="1514" w:type="pct"/>
            <w:vAlign w:val="center"/>
          </w:tcPr>
          <w:p w14:paraId="581F42C6">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ind w:left="0" w:right="0" w:firstLine="0" w:firstLineChars="0"/>
              <w:jc w:val="center"/>
              <w:textAlignment w:val="auto"/>
              <w:rPr>
                <w:rFonts w:hint="eastAsia" w:ascii="仿宋_GB2312" w:hAnsi="宋体"/>
                <w:color w:val="auto"/>
                <w:sz w:val="24"/>
                <w:szCs w:val="24"/>
                <w:highlight w:val="none"/>
                <w:vertAlign w:val="baseline"/>
                <w:lang w:val="en-US" w:eastAsia="zh-CN"/>
              </w:rPr>
            </w:pPr>
            <w:r>
              <w:rPr>
                <w:rFonts w:hint="eastAsia" w:ascii="仿宋_GB2312" w:hAnsi="宋体"/>
                <w:color w:val="auto"/>
                <w:sz w:val="24"/>
                <w:szCs w:val="24"/>
                <w:highlight w:val="none"/>
                <w:vertAlign w:val="baseline"/>
                <w:lang w:val="en-US" w:eastAsia="zh-CN"/>
              </w:rPr>
              <w:t>GPD甘蔗(2018)530001</w:t>
            </w:r>
          </w:p>
        </w:tc>
        <w:tc>
          <w:tcPr>
            <w:tcW w:w="1187" w:type="pct"/>
            <w:vAlign w:val="center"/>
          </w:tcPr>
          <w:p w14:paraId="2AB9BE7E">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ind w:left="0" w:right="0" w:firstLine="0" w:firstLineChars="0"/>
              <w:jc w:val="center"/>
              <w:textAlignment w:val="auto"/>
              <w:rPr>
                <w:rFonts w:hint="default" w:ascii="仿宋_GB2312" w:hAnsi="宋体"/>
                <w:color w:val="auto"/>
                <w:sz w:val="24"/>
                <w:szCs w:val="24"/>
                <w:highlight w:val="none"/>
                <w:vertAlign w:val="baseline"/>
                <w:lang w:val="en-US" w:eastAsia="zh-CN"/>
              </w:rPr>
            </w:pPr>
            <w:r>
              <w:rPr>
                <w:rFonts w:hint="eastAsia" w:ascii="仿宋_GB2312" w:hAnsi="宋体"/>
                <w:color w:val="auto"/>
                <w:sz w:val="24"/>
                <w:szCs w:val="24"/>
                <w:highlight w:val="none"/>
                <w:vertAlign w:val="baseline"/>
                <w:lang w:val="en-US" w:eastAsia="zh-CN"/>
              </w:rPr>
              <w:t>2018</w:t>
            </w:r>
          </w:p>
        </w:tc>
        <w:tc>
          <w:tcPr>
            <w:tcW w:w="1193" w:type="pct"/>
            <w:vAlign w:val="center"/>
          </w:tcPr>
          <w:p w14:paraId="0D0ED071">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ind w:left="0" w:right="0" w:firstLine="0" w:firstLineChars="0"/>
              <w:jc w:val="center"/>
              <w:textAlignment w:val="auto"/>
              <w:rPr>
                <w:rFonts w:hint="eastAsia" w:ascii="仿宋_GB2312" w:hAnsi="宋体"/>
                <w:color w:val="auto"/>
                <w:sz w:val="24"/>
                <w:szCs w:val="24"/>
                <w:highlight w:val="none"/>
                <w:vertAlign w:val="baseline"/>
                <w:lang w:val="en-US" w:eastAsia="zh-CN"/>
              </w:rPr>
            </w:pPr>
            <w:r>
              <w:rPr>
                <w:rFonts w:hint="eastAsia" w:ascii="仿宋_GB2312" w:hAnsi="宋体"/>
                <w:color w:val="auto"/>
                <w:sz w:val="24"/>
                <w:szCs w:val="24"/>
                <w:highlight w:val="none"/>
                <w:vertAlign w:val="baseline"/>
                <w:lang w:val="en-US" w:eastAsia="zh-CN"/>
              </w:rPr>
              <w:t>云南省农业科学院甘蔗研究所;云南云蔗科技开发有限公司</w:t>
            </w:r>
          </w:p>
        </w:tc>
      </w:tr>
      <w:tr w14:paraId="64064E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8" w:type="pct"/>
            <w:vAlign w:val="center"/>
          </w:tcPr>
          <w:p w14:paraId="76B3D84C">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ind w:left="0" w:right="0" w:firstLine="0" w:firstLineChars="0"/>
              <w:jc w:val="center"/>
              <w:textAlignment w:val="auto"/>
              <w:rPr>
                <w:rFonts w:hint="default" w:ascii="仿宋_GB2312" w:hAnsi="宋体"/>
                <w:color w:val="auto"/>
                <w:sz w:val="24"/>
                <w:szCs w:val="24"/>
                <w:highlight w:val="none"/>
                <w:vertAlign w:val="baseline"/>
                <w:lang w:val="en-US" w:eastAsia="zh-CN"/>
              </w:rPr>
            </w:pPr>
            <w:r>
              <w:rPr>
                <w:rFonts w:hint="eastAsia" w:ascii="仿宋_GB2312" w:hAnsi="宋体"/>
                <w:color w:val="auto"/>
                <w:sz w:val="24"/>
                <w:szCs w:val="24"/>
                <w:highlight w:val="none"/>
                <w:vertAlign w:val="baseline"/>
                <w:lang w:val="en-US" w:eastAsia="zh-CN"/>
              </w:rPr>
              <w:t>6</w:t>
            </w:r>
          </w:p>
        </w:tc>
        <w:tc>
          <w:tcPr>
            <w:tcW w:w="857" w:type="pct"/>
            <w:vAlign w:val="center"/>
          </w:tcPr>
          <w:p w14:paraId="57B24C4A">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ind w:left="0" w:right="0" w:firstLine="0" w:firstLineChars="0"/>
              <w:jc w:val="center"/>
              <w:textAlignment w:val="auto"/>
              <w:rPr>
                <w:rFonts w:hint="eastAsia" w:ascii="仿宋_GB2312" w:hAnsi="宋体"/>
                <w:color w:val="auto"/>
                <w:sz w:val="24"/>
                <w:szCs w:val="24"/>
                <w:highlight w:val="none"/>
                <w:lang w:val="en-US" w:eastAsia="zh-CN"/>
              </w:rPr>
            </w:pPr>
            <w:r>
              <w:rPr>
                <w:rFonts w:hint="eastAsia" w:ascii="仿宋_GB2312" w:hAnsi="宋体"/>
                <w:color w:val="auto"/>
                <w:sz w:val="24"/>
                <w:szCs w:val="24"/>
                <w:highlight w:val="none"/>
                <w:lang w:val="en-US" w:eastAsia="zh-CN"/>
              </w:rPr>
              <w:t>粤糖00236</w:t>
            </w:r>
          </w:p>
        </w:tc>
        <w:tc>
          <w:tcPr>
            <w:tcW w:w="1514" w:type="pct"/>
            <w:vAlign w:val="center"/>
          </w:tcPr>
          <w:p w14:paraId="339A55B9">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ind w:left="0" w:right="0" w:firstLine="0" w:firstLineChars="0"/>
              <w:jc w:val="center"/>
              <w:textAlignment w:val="auto"/>
              <w:rPr>
                <w:rFonts w:hint="eastAsia" w:ascii="仿宋_GB2312" w:hAnsi="宋体"/>
                <w:color w:val="auto"/>
                <w:sz w:val="24"/>
                <w:szCs w:val="24"/>
                <w:highlight w:val="none"/>
                <w:vertAlign w:val="baseline"/>
                <w:lang w:val="en-US" w:eastAsia="zh-CN"/>
              </w:rPr>
            </w:pPr>
            <w:r>
              <w:rPr>
                <w:rFonts w:hint="eastAsia" w:ascii="仿宋_GB2312" w:hAnsi="宋体"/>
                <w:color w:val="auto"/>
                <w:sz w:val="24"/>
                <w:szCs w:val="24"/>
                <w:highlight w:val="none"/>
                <w:vertAlign w:val="baseline"/>
                <w:lang w:val="en-US" w:eastAsia="zh-CN"/>
              </w:rPr>
              <w:t>GPD甘蔗(2020)440032</w:t>
            </w:r>
          </w:p>
        </w:tc>
        <w:tc>
          <w:tcPr>
            <w:tcW w:w="1187" w:type="pct"/>
            <w:vAlign w:val="center"/>
          </w:tcPr>
          <w:p w14:paraId="4F7D4D5C">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ind w:left="0" w:right="0" w:firstLine="0" w:firstLineChars="0"/>
              <w:jc w:val="center"/>
              <w:textAlignment w:val="auto"/>
              <w:rPr>
                <w:rFonts w:hint="default" w:ascii="仿宋_GB2312" w:hAnsi="宋体"/>
                <w:color w:val="auto"/>
                <w:sz w:val="24"/>
                <w:szCs w:val="24"/>
                <w:highlight w:val="none"/>
                <w:vertAlign w:val="baseline"/>
                <w:lang w:val="en-US" w:eastAsia="zh-CN"/>
              </w:rPr>
            </w:pPr>
            <w:r>
              <w:rPr>
                <w:rFonts w:hint="eastAsia" w:ascii="仿宋_GB2312" w:hAnsi="宋体"/>
                <w:color w:val="auto"/>
                <w:sz w:val="24"/>
                <w:szCs w:val="24"/>
                <w:highlight w:val="none"/>
                <w:vertAlign w:val="baseline"/>
                <w:lang w:val="en-US" w:eastAsia="zh-CN"/>
              </w:rPr>
              <w:t>2024</w:t>
            </w:r>
          </w:p>
        </w:tc>
        <w:tc>
          <w:tcPr>
            <w:tcW w:w="1193" w:type="pct"/>
            <w:vAlign w:val="center"/>
          </w:tcPr>
          <w:p w14:paraId="1B3E98BF">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ind w:left="0" w:right="0" w:firstLine="0" w:firstLineChars="0"/>
              <w:jc w:val="center"/>
              <w:textAlignment w:val="auto"/>
              <w:rPr>
                <w:rFonts w:hint="eastAsia" w:ascii="仿宋_GB2312" w:hAnsi="宋体"/>
                <w:color w:val="auto"/>
                <w:sz w:val="24"/>
                <w:szCs w:val="24"/>
                <w:highlight w:val="none"/>
                <w:vertAlign w:val="baseline"/>
                <w:lang w:val="en-US" w:eastAsia="zh-CN"/>
              </w:rPr>
            </w:pPr>
            <w:r>
              <w:rPr>
                <w:rFonts w:hint="eastAsia" w:ascii="仿宋_GB2312" w:hAnsi="宋体"/>
                <w:color w:val="auto"/>
                <w:sz w:val="24"/>
                <w:szCs w:val="24"/>
                <w:highlight w:val="none"/>
                <w:vertAlign w:val="baseline"/>
                <w:lang w:val="en-US" w:eastAsia="zh-CN"/>
              </w:rPr>
              <w:t>广东省生物工程研究所(广州甘蔗糖业研究所)</w:t>
            </w:r>
          </w:p>
        </w:tc>
      </w:tr>
      <w:tr w14:paraId="59387A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0" w:type="pct"/>
            <w:gridSpan w:val="5"/>
            <w:vAlign w:val="center"/>
          </w:tcPr>
          <w:p w14:paraId="5C932272">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ind w:left="0" w:right="0" w:firstLine="0" w:firstLineChars="0"/>
              <w:jc w:val="left"/>
              <w:textAlignment w:val="auto"/>
              <w:rPr>
                <w:rFonts w:hint="eastAsia" w:ascii="仿宋_GB2312" w:hAnsi="宋体"/>
                <w:color w:val="auto"/>
                <w:sz w:val="24"/>
                <w:szCs w:val="24"/>
                <w:highlight w:val="none"/>
                <w:lang w:val="en-US" w:eastAsia="zh-CN"/>
              </w:rPr>
            </w:pPr>
            <w:r>
              <w:rPr>
                <w:rFonts w:hint="eastAsia" w:ascii="仿宋_GB2312" w:hAnsi="宋体"/>
                <w:color w:val="auto"/>
                <w:sz w:val="24"/>
                <w:szCs w:val="24"/>
                <w:highlight w:val="none"/>
                <w:lang w:val="en-US" w:eastAsia="zh-CN"/>
              </w:rPr>
              <w:t>注：来自中国种业大数据平台</w:t>
            </w:r>
          </w:p>
        </w:tc>
      </w:tr>
    </w:tbl>
    <w:p w14:paraId="537EF765">
      <w:pPr>
        <w:keepNext w:val="0"/>
        <w:keepLines w:val="0"/>
        <w:pageBreakBefore w:val="0"/>
        <w:widowControl w:val="0"/>
        <w:kinsoku/>
        <w:wordWrap/>
        <w:overflowPunct/>
        <w:topLinePunct w:val="0"/>
        <w:autoSpaceDE/>
        <w:autoSpaceDN/>
        <w:bidi w:val="0"/>
        <w:adjustRightInd/>
        <w:snapToGrid/>
        <w:spacing w:before="157" w:beforeLines="50"/>
        <w:ind w:left="0" w:firstLine="640" w:firstLineChars="200"/>
        <w:textAlignment w:val="auto"/>
        <w:rPr>
          <w:rFonts w:hint="default" w:ascii="仿宋_GB2312" w:hAnsi="宋体" w:eastAsia="仿宋_GB2312" w:cs="Times New Roman"/>
          <w:b w:val="0"/>
          <w:bCs w:val="0"/>
          <w:color w:val="auto"/>
          <w:kern w:val="2"/>
          <w:sz w:val="32"/>
          <w:szCs w:val="32"/>
          <w:highlight w:val="none"/>
          <w:lang w:val="en-US" w:eastAsia="zh-CN" w:bidi="ar-SA"/>
        </w:rPr>
      </w:pPr>
      <w:r>
        <w:rPr>
          <w:rFonts w:hint="eastAsia" w:ascii="仿宋_GB2312" w:hAnsi="宋体" w:cs="Times New Roman"/>
          <w:b w:val="0"/>
          <w:bCs w:val="0"/>
          <w:color w:val="auto"/>
          <w:kern w:val="2"/>
          <w:sz w:val="32"/>
          <w:szCs w:val="32"/>
          <w:highlight w:val="none"/>
          <w:lang w:val="en-US" w:eastAsia="zh-CN" w:bidi="ar-SA"/>
        </w:rPr>
        <w:t>2.2种茎准备</w:t>
      </w:r>
    </w:p>
    <w:p w14:paraId="15040CB0">
      <w:pPr>
        <w:keepNext w:val="0"/>
        <w:keepLines w:val="0"/>
        <w:pageBreakBefore w:val="0"/>
        <w:numPr>
          <w:ilvl w:val="0"/>
          <w:numId w:val="0"/>
        </w:numPr>
        <w:kinsoku/>
        <w:overflowPunct/>
        <w:topLinePunct w:val="0"/>
        <w:bidi w:val="0"/>
        <w:snapToGrid/>
        <w:ind w:left="0" w:leftChars="0" w:firstLine="640" w:firstLineChars="200"/>
        <w:textAlignment w:val="auto"/>
        <w:rPr>
          <w:rFonts w:hint="eastAsia" w:ascii="仿宋_GB2312" w:hAnsi="宋体" w:eastAsia="仿宋_GB2312" w:cs="Times New Roman"/>
          <w:b w:val="0"/>
          <w:bCs w:val="0"/>
          <w:color w:val="auto"/>
          <w:kern w:val="2"/>
          <w:sz w:val="32"/>
          <w:szCs w:val="32"/>
          <w:highlight w:val="none"/>
          <w:lang w:val="en-US" w:eastAsia="zh-CN" w:bidi="ar-SA"/>
        </w:rPr>
      </w:pPr>
      <w:r>
        <w:rPr>
          <w:rFonts w:hint="eastAsia" w:ascii="仿宋_GB2312" w:hAnsi="宋体" w:eastAsia="仿宋_GB2312" w:cs="Times New Roman"/>
          <w:b w:val="0"/>
          <w:bCs w:val="0"/>
          <w:color w:val="auto"/>
          <w:kern w:val="2"/>
          <w:sz w:val="32"/>
          <w:szCs w:val="32"/>
          <w:highlight w:val="none"/>
          <w:lang w:val="en-US" w:eastAsia="zh-CN" w:bidi="ar-SA"/>
        </w:rPr>
        <w:t>种茎规格均一、节间足够长，</w:t>
      </w:r>
      <w:r>
        <w:rPr>
          <w:rFonts w:hint="eastAsia" w:ascii="仿宋_GB2312" w:hAnsi="宋体" w:cs="Times New Roman"/>
          <w:b w:val="0"/>
          <w:bCs w:val="0"/>
          <w:color w:val="auto"/>
          <w:kern w:val="2"/>
          <w:sz w:val="32"/>
          <w:szCs w:val="32"/>
          <w:highlight w:val="none"/>
          <w:lang w:val="en-US" w:eastAsia="zh-CN" w:bidi="ar-SA"/>
        </w:rPr>
        <w:t>有助于</w:t>
      </w:r>
      <w:r>
        <w:rPr>
          <w:rFonts w:hint="eastAsia" w:ascii="仿宋_GB2312" w:hAnsi="宋体" w:eastAsia="仿宋_GB2312" w:cs="Times New Roman"/>
          <w:b w:val="0"/>
          <w:bCs w:val="0"/>
          <w:color w:val="auto"/>
          <w:kern w:val="2"/>
          <w:sz w:val="32"/>
          <w:szCs w:val="32"/>
          <w:highlight w:val="none"/>
          <w:lang w:val="en-US" w:eastAsia="zh-CN" w:bidi="ar-SA"/>
        </w:rPr>
        <w:t>机械切种切割精准、避免伤芽</w:t>
      </w:r>
      <w:r>
        <w:rPr>
          <w:rFonts w:hint="eastAsia" w:ascii="仿宋_GB2312" w:hAnsi="宋体" w:cs="Times New Roman"/>
          <w:b w:val="0"/>
          <w:bCs w:val="0"/>
          <w:color w:val="auto"/>
          <w:kern w:val="2"/>
          <w:sz w:val="32"/>
          <w:szCs w:val="32"/>
          <w:highlight w:val="none"/>
          <w:lang w:val="en-US" w:eastAsia="zh-CN" w:bidi="ar-SA"/>
        </w:rPr>
        <w:t>，</w:t>
      </w:r>
      <w:r>
        <w:rPr>
          <w:rFonts w:hint="eastAsia" w:ascii="仿宋_GB2312" w:hAnsi="宋体" w:eastAsia="仿宋_GB2312" w:cs="Times New Roman"/>
          <w:b w:val="0"/>
          <w:bCs w:val="0"/>
          <w:color w:val="auto"/>
          <w:kern w:val="2"/>
          <w:sz w:val="32"/>
          <w:szCs w:val="32"/>
          <w:highlight w:val="none"/>
          <w:lang w:val="en-US" w:eastAsia="zh-CN" w:bidi="ar-SA"/>
        </w:rPr>
        <w:t>同时新鲜饱满的种茎是提高萌芽率和形成壮苗的基础</w:t>
      </w:r>
      <w:r>
        <w:rPr>
          <w:rFonts w:hint="eastAsia" w:ascii="仿宋_GB2312" w:hAnsi="宋体" w:cs="Times New Roman"/>
          <w:b w:val="0"/>
          <w:bCs w:val="0"/>
          <w:color w:val="auto"/>
          <w:kern w:val="2"/>
          <w:sz w:val="32"/>
          <w:szCs w:val="32"/>
          <w:highlight w:val="none"/>
          <w:lang w:val="en-US" w:eastAsia="zh-CN" w:bidi="ar-SA"/>
        </w:rPr>
        <w:t>，</w:t>
      </w:r>
      <w:r>
        <w:rPr>
          <w:rFonts w:hint="eastAsia" w:ascii="仿宋_GB2312" w:hAnsi="宋体" w:eastAsia="仿宋_GB2312" w:cs="Times New Roman"/>
          <w:b w:val="0"/>
          <w:bCs w:val="0"/>
          <w:color w:val="auto"/>
          <w:kern w:val="2"/>
          <w:sz w:val="32"/>
          <w:szCs w:val="32"/>
          <w:highlight w:val="none"/>
          <w:lang w:val="en-US" w:eastAsia="zh-CN" w:bidi="ar-SA"/>
        </w:rPr>
        <w:t>而脱毒或健康种茎则</w:t>
      </w:r>
      <w:r>
        <w:rPr>
          <w:rFonts w:hint="eastAsia" w:ascii="仿宋_GB2312" w:hAnsi="宋体" w:cs="Times New Roman"/>
          <w:b w:val="0"/>
          <w:bCs w:val="0"/>
          <w:color w:val="auto"/>
          <w:kern w:val="2"/>
          <w:sz w:val="32"/>
          <w:szCs w:val="32"/>
          <w:highlight w:val="none"/>
          <w:lang w:val="en-US" w:eastAsia="zh-CN" w:bidi="ar-SA"/>
        </w:rPr>
        <w:t>是</w:t>
      </w:r>
      <w:r>
        <w:rPr>
          <w:rFonts w:hint="eastAsia" w:ascii="仿宋_GB2312" w:hAnsi="宋体" w:eastAsia="仿宋_GB2312" w:cs="Times New Roman"/>
          <w:b w:val="0"/>
          <w:bCs w:val="0"/>
          <w:color w:val="auto"/>
          <w:kern w:val="2"/>
          <w:sz w:val="32"/>
          <w:szCs w:val="32"/>
          <w:highlight w:val="none"/>
          <w:lang w:val="en-US" w:eastAsia="zh-CN" w:bidi="ar-SA"/>
        </w:rPr>
        <w:t>从源头阻断种传病害，保障宿根年限和稳产，从而为单芽精量种植与机械化作业提供健康、可靠的种源。</w:t>
      </w:r>
    </w:p>
    <w:p w14:paraId="7C47E313">
      <w:pPr>
        <w:keepNext w:val="0"/>
        <w:keepLines w:val="0"/>
        <w:pageBreakBefore w:val="0"/>
        <w:kinsoku/>
        <w:overflowPunct/>
        <w:topLinePunct w:val="0"/>
        <w:bidi w:val="0"/>
        <w:snapToGrid/>
        <w:ind w:left="0" w:firstLine="640" w:firstLineChars="200"/>
        <w:textAlignment w:val="auto"/>
        <w:rPr>
          <w:rFonts w:hint="eastAsia" w:ascii="仿宋_GB2312" w:hAnsi="宋体" w:cs="Times New Roman"/>
          <w:b w:val="0"/>
          <w:bCs w:val="0"/>
          <w:color w:val="auto"/>
          <w:kern w:val="2"/>
          <w:sz w:val="32"/>
          <w:szCs w:val="32"/>
          <w:highlight w:val="none"/>
          <w:lang w:val="en-US" w:eastAsia="zh-CN" w:bidi="ar-SA"/>
        </w:rPr>
      </w:pPr>
      <w:r>
        <w:rPr>
          <w:rFonts w:hint="eastAsia" w:ascii="仿宋_GB2312" w:hAnsi="宋体" w:cs="Times New Roman"/>
          <w:b w:val="0"/>
          <w:bCs w:val="0"/>
          <w:color w:val="auto"/>
          <w:kern w:val="2"/>
          <w:sz w:val="32"/>
          <w:szCs w:val="32"/>
          <w:highlight w:val="none"/>
          <w:lang w:val="en-US" w:eastAsia="zh-CN" w:bidi="ar-SA"/>
        </w:rPr>
        <w:t>2.3选芽与切种</w:t>
      </w:r>
    </w:p>
    <w:p w14:paraId="3DB9A401">
      <w:pPr>
        <w:keepNext w:val="0"/>
        <w:keepLines w:val="0"/>
        <w:pageBreakBefore w:val="0"/>
        <w:kinsoku/>
        <w:overflowPunct/>
        <w:topLinePunct w:val="0"/>
        <w:bidi w:val="0"/>
        <w:snapToGrid/>
        <w:ind w:left="0" w:firstLine="640" w:firstLineChars="200"/>
        <w:textAlignment w:val="auto"/>
        <w:rPr>
          <w:rFonts w:hint="default" w:ascii="仿宋_GB2312" w:hAnsi="宋体" w:cs="Times New Roman"/>
          <w:b w:val="0"/>
          <w:bCs w:val="0"/>
          <w:color w:val="auto"/>
          <w:kern w:val="2"/>
          <w:sz w:val="32"/>
          <w:szCs w:val="32"/>
          <w:highlight w:val="none"/>
          <w:lang w:val="en-US" w:eastAsia="zh-CN" w:bidi="ar-SA"/>
        </w:rPr>
      </w:pPr>
      <w:r>
        <w:rPr>
          <w:rFonts w:hint="default" w:ascii="仿宋_GB2312" w:hAnsi="宋体" w:cs="Times New Roman"/>
          <w:b w:val="0"/>
          <w:bCs w:val="0"/>
          <w:color w:val="auto"/>
          <w:kern w:val="2"/>
          <w:sz w:val="32"/>
          <w:szCs w:val="32"/>
          <w:highlight w:val="none"/>
          <w:lang w:val="en-US" w:eastAsia="zh-CN" w:bidi="ar-SA"/>
        </w:rPr>
        <w:t>边选芽边切种</w:t>
      </w:r>
      <w:r>
        <w:rPr>
          <w:rFonts w:hint="eastAsia" w:ascii="仿宋_GB2312" w:hAnsi="宋体" w:cs="Times New Roman"/>
          <w:b w:val="0"/>
          <w:bCs w:val="0"/>
          <w:color w:val="auto"/>
          <w:kern w:val="2"/>
          <w:sz w:val="32"/>
          <w:szCs w:val="32"/>
          <w:highlight w:val="none"/>
          <w:lang w:val="en-US" w:eastAsia="zh-CN" w:bidi="ar-SA"/>
        </w:rPr>
        <w:t>,</w:t>
      </w:r>
      <w:r>
        <w:rPr>
          <w:rFonts w:hint="default" w:ascii="仿宋_GB2312" w:hAnsi="宋体" w:cs="Times New Roman"/>
          <w:b w:val="0"/>
          <w:bCs w:val="0"/>
          <w:color w:val="auto"/>
          <w:kern w:val="2"/>
          <w:sz w:val="32"/>
          <w:szCs w:val="32"/>
          <w:highlight w:val="none"/>
          <w:lang w:val="en-US" w:eastAsia="zh-CN" w:bidi="ar-SA"/>
        </w:rPr>
        <w:t>人工精选健壮蔗芽</w:t>
      </w:r>
      <w:r>
        <w:rPr>
          <w:rFonts w:hint="default" w:ascii="仿宋_GB2312" w:hAnsi="宋体" w:cs="Times New Roman"/>
          <w:b w:val="0"/>
          <w:bCs w:val="0"/>
          <w:color w:val="auto"/>
          <w:kern w:val="2"/>
          <w:sz w:val="32"/>
          <w:szCs w:val="32"/>
          <w:highlight w:val="none"/>
          <w:lang w:val="en-US" w:eastAsia="zh-CN" w:bidi="ar-SA"/>
        </w:rPr>
        <w:t>，从源头淘汰无效芽、带病芽和虫蛀芽，保证后续单芽段的</w:t>
      </w:r>
      <w:r>
        <w:rPr>
          <w:rFonts w:hint="eastAsia" w:ascii="仿宋_GB2312" w:hAnsi="宋体" w:cs="Times New Roman"/>
          <w:b w:val="0"/>
          <w:bCs w:val="0"/>
          <w:color w:val="auto"/>
          <w:kern w:val="2"/>
          <w:sz w:val="32"/>
          <w:szCs w:val="32"/>
          <w:highlight w:val="none"/>
          <w:lang w:val="en-US" w:eastAsia="zh-CN" w:bidi="ar-SA"/>
        </w:rPr>
        <w:t>正常</w:t>
      </w:r>
      <w:r>
        <w:rPr>
          <w:rFonts w:hint="default" w:ascii="仿宋_GB2312" w:hAnsi="宋体" w:cs="Times New Roman"/>
          <w:b w:val="0"/>
          <w:bCs w:val="0"/>
          <w:color w:val="auto"/>
          <w:kern w:val="2"/>
          <w:sz w:val="32"/>
          <w:szCs w:val="32"/>
          <w:highlight w:val="none"/>
          <w:lang w:val="en-US" w:eastAsia="zh-CN" w:bidi="ar-SA"/>
        </w:rPr>
        <w:t>萌芽</w:t>
      </w:r>
      <w:r>
        <w:rPr>
          <w:rFonts w:hint="eastAsia" w:ascii="仿宋_GB2312" w:hAnsi="宋体" w:cs="Times New Roman"/>
          <w:b w:val="0"/>
          <w:bCs w:val="0"/>
          <w:color w:val="auto"/>
          <w:kern w:val="2"/>
          <w:sz w:val="32"/>
          <w:szCs w:val="32"/>
          <w:highlight w:val="none"/>
          <w:lang w:val="en-US" w:eastAsia="zh-CN" w:bidi="ar-SA"/>
        </w:rPr>
        <w:t>。切种要求</w:t>
      </w:r>
      <w:r>
        <w:rPr>
          <w:rFonts w:hint="default" w:ascii="仿宋_GB2312" w:hAnsi="宋体" w:cs="Times New Roman"/>
          <w:b w:val="0"/>
          <w:bCs w:val="0"/>
          <w:color w:val="auto"/>
          <w:kern w:val="2"/>
          <w:sz w:val="32"/>
          <w:szCs w:val="32"/>
          <w:highlight w:val="none"/>
          <w:lang w:val="en-US" w:eastAsia="zh-CN" w:bidi="ar-SA"/>
        </w:rPr>
        <w:t>蔗茎断面光滑，避免切口纤维撕裂、毛糙</w:t>
      </w:r>
      <w:r>
        <w:rPr>
          <w:rFonts w:hint="eastAsia" w:ascii="仿宋_GB2312" w:hAnsi="宋体" w:cs="Times New Roman"/>
          <w:b w:val="0"/>
          <w:bCs w:val="0"/>
          <w:color w:val="auto"/>
          <w:kern w:val="2"/>
          <w:sz w:val="32"/>
          <w:szCs w:val="32"/>
          <w:highlight w:val="none"/>
          <w:lang w:val="en-US" w:eastAsia="zh-CN" w:bidi="ar-SA"/>
        </w:rPr>
        <w:t>，</w:t>
      </w:r>
      <w:r>
        <w:rPr>
          <w:rFonts w:hint="eastAsia" w:ascii="仿宋_GB2312" w:hAnsi="宋体" w:cs="Times New Roman"/>
          <w:b w:val="0"/>
          <w:bCs w:val="0"/>
          <w:color w:val="auto"/>
          <w:kern w:val="2"/>
          <w:sz w:val="32"/>
          <w:szCs w:val="32"/>
          <w:highlight w:val="none"/>
          <w:lang w:val="en-US" w:eastAsia="zh-CN" w:bidi="ar-SA"/>
        </w:rPr>
        <w:t>撕裂的切口会增大伤口面积，容易引发病菌感染，同时加速水分流失，导致蔗芽失水干枯，降低萌芽率。单芽段切割时，切口离芽尖太近极易直接切伤芽体，即使未直接伤芽，过近的切口也会破坏芽周围的组织结构，削弱芽体萌发所需的养分供应和水分保持能力，因此切口芽尖的距离不小于0.5 cm。</w:t>
      </w:r>
    </w:p>
    <w:p w14:paraId="6ECD23D7">
      <w:pPr>
        <w:keepNext w:val="0"/>
        <w:keepLines w:val="0"/>
        <w:pageBreakBefore w:val="0"/>
        <w:numPr>
          <w:ilvl w:val="0"/>
          <w:numId w:val="0"/>
        </w:numPr>
        <w:kinsoku/>
        <w:overflowPunct/>
        <w:topLinePunct w:val="0"/>
        <w:bidi w:val="0"/>
        <w:snapToGrid/>
        <w:ind w:left="0" w:leftChars="0" w:firstLine="640" w:firstLineChars="200"/>
        <w:textAlignment w:val="auto"/>
        <w:rPr>
          <w:rFonts w:hint="eastAsia" w:ascii="仿宋_GB2312" w:hAnsi="宋体" w:eastAsia="仿宋_GB2312" w:cs="Times New Roman"/>
          <w:b w:val="0"/>
          <w:bCs w:val="0"/>
          <w:color w:val="auto"/>
          <w:kern w:val="2"/>
          <w:sz w:val="32"/>
          <w:szCs w:val="32"/>
          <w:highlight w:val="none"/>
          <w:lang w:val="en-US" w:eastAsia="zh-CN" w:bidi="ar-SA"/>
        </w:rPr>
      </w:pPr>
      <w:r>
        <w:rPr>
          <w:rFonts w:hint="eastAsia" w:ascii="仿宋_GB2312" w:hAnsi="宋体" w:eastAsia="仿宋_GB2312" w:cs="Times New Roman"/>
          <w:b w:val="0"/>
          <w:bCs w:val="0"/>
          <w:color w:val="auto"/>
          <w:kern w:val="2"/>
          <w:sz w:val="32"/>
          <w:szCs w:val="32"/>
          <w:highlight w:val="none"/>
          <w:lang w:val="en-US" w:eastAsia="zh-CN" w:bidi="ar-SA"/>
        </w:rPr>
        <w:t>单芽段直接播种到大田，外界环境多变</w:t>
      </w:r>
      <w:r>
        <w:rPr>
          <w:rFonts w:hint="eastAsia" w:ascii="仿宋_GB2312" w:hAnsi="宋体" w:cs="Times New Roman"/>
          <w:b w:val="0"/>
          <w:bCs w:val="0"/>
          <w:color w:val="auto"/>
          <w:kern w:val="2"/>
          <w:sz w:val="32"/>
          <w:szCs w:val="32"/>
          <w:highlight w:val="none"/>
          <w:lang w:val="en-US" w:eastAsia="zh-CN" w:bidi="ar-SA"/>
        </w:rPr>
        <w:t>，</w:t>
      </w:r>
      <w:r>
        <w:rPr>
          <w:rFonts w:hint="eastAsia" w:ascii="仿宋_GB2312" w:hAnsi="宋体" w:eastAsia="仿宋_GB2312" w:cs="Times New Roman"/>
          <w:b w:val="0"/>
          <w:bCs w:val="0"/>
          <w:color w:val="auto"/>
          <w:kern w:val="2"/>
          <w:sz w:val="32"/>
          <w:szCs w:val="32"/>
          <w:highlight w:val="none"/>
          <w:lang w:val="en-US" w:eastAsia="zh-CN" w:bidi="ar-SA"/>
        </w:rPr>
        <w:t>稍长的茎段能为芽体提供更持久的萌发能量，增强抗逆性；同时较长的茎段在机械播种时更易被排种器稳定抓取，降低漏种率。</w:t>
      </w:r>
    </w:p>
    <w:p w14:paraId="36FC1F0E">
      <w:pPr>
        <w:keepNext w:val="0"/>
        <w:keepLines w:val="0"/>
        <w:pageBreakBefore w:val="0"/>
        <w:numPr>
          <w:ilvl w:val="0"/>
          <w:numId w:val="0"/>
        </w:numPr>
        <w:kinsoku/>
        <w:overflowPunct/>
        <w:topLinePunct w:val="0"/>
        <w:bidi w:val="0"/>
        <w:snapToGrid/>
        <w:ind w:left="0" w:leftChars="0" w:firstLine="640" w:firstLineChars="200"/>
        <w:textAlignment w:val="auto"/>
        <w:rPr>
          <w:rFonts w:hint="eastAsia" w:ascii="仿宋_GB2312" w:hAnsi="宋体" w:eastAsia="仿宋_GB2312" w:cs="Times New Roman"/>
          <w:b w:val="0"/>
          <w:bCs w:val="0"/>
          <w:color w:val="auto"/>
          <w:kern w:val="2"/>
          <w:sz w:val="32"/>
          <w:szCs w:val="32"/>
          <w:highlight w:val="none"/>
          <w:lang w:val="en-US" w:eastAsia="zh-CN" w:bidi="ar-SA"/>
        </w:rPr>
      </w:pPr>
      <w:r>
        <w:rPr>
          <w:rFonts w:hint="eastAsia" w:ascii="仿宋_GB2312" w:hAnsi="宋体" w:eastAsia="仿宋_GB2312" w:cs="Times New Roman"/>
          <w:b w:val="0"/>
          <w:bCs w:val="0"/>
          <w:color w:val="auto"/>
          <w:kern w:val="2"/>
          <w:sz w:val="32"/>
          <w:szCs w:val="32"/>
          <w:highlight w:val="none"/>
          <w:lang w:val="en-US" w:eastAsia="zh-CN" w:bidi="ar-SA"/>
        </w:rPr>
        <w:t>单芽段</w:t>
      </w:r>
      <w:r>
        <w:rPr>
          <w:rFonts w:hint="eastAsia" w:ascii="仿宋_GB2312" w:hAnsi="宋体" w:cs="Times New Roman"/>
          <w:b w:val="0"/>
          <w:bCs w:val="0"/>
          <w:color w:val="auto"/>
          <w:kern w:val="2"/>
          <w:sz w:val="32"/>
          <w:szCs w:val="32"/>
          <w:highlight w:val="none"/>
          <w:lang w:val="en-US" w:eastAsia="zh-CN" w:bidi="ar-SA"/>
        </w:rPr>
        <w:t>用来</w:t>
      </w:r>
      <w:r>
        <w:rPr>
          <w:rFonts w:hint="eastAsia" w:ascii="仿宋_GB2312" w:hAnsi="宋体" w:eastAsia="仿宋_GB2312" w:cs="Times New Roman"/>
          <w:b w:val="0"/>
          <w:bCs w:val="0"/>
          <w:color w:val="auto"/>
          <w:kern w:val="2"/>
          <w:sz w:val="32"/>
          <w:szCs w:val="32"/>
          <w:highlight w:val="none"/>
          <w:lang w:val="en-US" w:eastAsia="zh-CN" w:bidi="ar-SA"/>
        </w:rPr>
        <w:t>育苗</w:t>
      </w:r>
      <w:r>
        <w:rPr>
          <w:rFonts w:hint="eastAsia" w:ascii="仿宋_GB2312" w:hAnsi="宋体" w:cs="Times New Roman"/>
          <w:b w:val="0"/>
          <w:bCs w:val="0"/>
          <w:color w:val="auto"/>
          <w:kern w:val="2"/>
          <w:sz w:val="32"/>
          <w:szCs w:val="32"/>
          <w:highlight w:val="none"/>
          <w:lang w:val="en-US" w:eastAsia="zh-CN" w:bidi="ar-SA"/>
        </w:rPr>
        <w:t>，</w:t>
      </w:r>
      <w:r>
        <w:rPr>
          <w:rFonts w:hint="eastAsia" w:ascii="仿宋_GB2312" w:hAnsi="宋体" w:eastAsia="仿宋_GB2312" w:cs="Times New Roman"/>
          <w:b w:val="0"/>
          <w:bCs w:val="0"/>
          <w:color w:val="auto"/>
          <w:kern w:val="2"/>
          <w:sz w:val="32"/>
          <w:szCs w:val="32"/>
          <w:highlight w:val="none"/>
          <w:lang w:val="en-US" w:eastAsia="zh-CN" w:bidi="ar-SA"/>
        </w:rPr>
        <w:t>单芽段先在温室或苗床集中培育成苗，环境可控。此时可适当缩短长度，以充分利用有限的种茎资源</w:t>
      </w:r>
      <w:r>
        <w:rPr>
          <w:rFonts w:hint="eastAsia" w:ascii="仿宋_GB2312" w:hAnsi="宋体" w:cs="Times New Roman"/>
          <w:b w:val="0"/>
          <w:bCs w:val="0"/>
          <w:color w:val="auto"/>
          <w:kern w:val="2"/>
          <w:sz w:val="32"/>
          <w:szCs w:val="32"/>
          <w:highlight w:val="none"/>
          <w:lang w:val="en-US" w:eastAsia="zh-CN" w:bidi="ar-SA"/>
        </w:rPr>
        <w:t>，解决甘蔗种植主体自留种种子纯度差、种苗质量差、留种时间长、用种量大、出苗率低、断垄、种植效率低等问题。</w:t>
      </w:r>
    </w:p>
    <w:p w14:paraId="0F750F28">
      <w:pPr>
        <w:keepNext w:val="0"/>
        <w:keepLines w:val="0"/>
        <w:pageBreakBefore w:val="0"/>
        <w:kinsoku/>
        <w:overflowPunct/>
        <w:topLinePunct w:val="0"/>
        <w:bidi w:val="0"/>
        <w:snapToGrid/>
        <w:ind w:left="0" w:firstLine="640" w:firstLineChars="200"/>
        <w:textAlignment w:val="auto"/>
        <w:rPr>
          <w:rFonts w:hint="default" w:ascii="仿宋_GB2312" w:hAnsi="宋体" w:cs="Times New Roman"/>
          <w:b w:val="0"/>
          <w:bCs w:val="0"/>
          <w:color w:val="auto"/>
          <w:kern w:val="2"/>
          <w:sz w:val="32"/>
          <w:szCs w:val="32"/>
          <w:highlight w:val="none"/>
          <w:lang w:val="en-US" w:eastAsia="zh-CN" w:bidi="ar-SA"/>
        </w:rPr>
      </w:pPr>
      <w:r>
        <w:rPr>
          <w:rFonts w:hint="eastAsia" w:ascii="仿宋_GB2312" w:hAnsi="宋体" w:cs="Times New Roman"/>
          <w:b w:val="0"/>
          <w:bCs w:val="0"/>
          <w:color w:val="auto"/>
          <w:kern w:val="2"/>
          <w:sz w:val="32"/>
          <w:szCs w:val="32"/>
          <w:highlight w:val="none"/>
          <w:lang w:val="en-US" w:eastAsia="zh-CN" w:bidi="ar-SA"/>
        </w:rPr>
        <w:t>2.4种茎包衣处理</w:t>
      </w:r>
    </w:p>
    <w:p w14:paraId="651C0BFC">
      <w:pPr>
        <w:keepNext w:val="0"/>
        <w:keepLines w:val="0"/>
        <w:widowControl/>
        <w:suppressLineNumbers w:val="0"/>
        <w:jc w:val="left"/>
        <w:rPr>
          <w:rFonts w:hint="default" w:ascii="仿宋_GB2312" w:hAnsi="宋体" w:eastAsia="仿宋_GB2312" w:cs="Times New Roman"/>
          <w:b w:val="0"/>
          <w:bCs w:val="0"/>
          <w:color w:val="auto"/>
          <w:kern w:val="2"/>
          <w:sz w:val="32"/>
          <w:szCs w:val="32"/>
          <w:highlight w:val="none"/>
          <w:lang w:val="en-US" w:eastAsia="zh-CN" w:bidi="ar-SA"/>
        </w:rPr>
      </w:pPr>
      <w:r>
        <w:rPr>
          <w:rFonts w:hint="eastAsia" w:ascii="仿宋_GB2312" w:hAnsi="宋体" w:cs="Times New Roman"/>
          <w:b w:val="0"/>
          <w:bCs w:val="0"/>
          <w:color w:val="auto"/>
          <w:kern w:val="2"/>
          <w:sz w:val="32"/>
          <w:szCs w:val="32"/>
          <w:highlight w:val="none"/>
          <w:lang w:val="en-US" w:eastAsia="zh-CN" w:bidi="ar-SA"/>
        </w:rPr>
        <w:t>起草单位前期对于包衣对种茎的影响做了相关研究，例如《包衣对甘蔗单芽种茎低温保存的影响，热带作物学报，2021》以甘蔗单芽种茎为材料，研究甘蔗单芽种茎包衣处理对不同保存时间和温度的影响。结果表示，甘蔗单芽种茎包衣处理可延长保存时间至30d左右，并以13℃保存温度效果最佳，其能有效延缓营养物质的下降，减少病菌对甘蔗单芽种茎的侵染，增强蔗种抗逆性，较好的保持甘蔗种茎活力。种茎包衣处理方法按起草单位编写的团体标准《</w:t>
      </w:r>
      <w:r>
        <w:rPr>
          <w:rFonts w:hint="eastAsia"/>
        </w:rPr>
        <w:t>糖料蔗脱毒种茎工厂化生产技术规程</w:t>
      </w:r>
      <w:r>
        <w:rPr>
          <w:rFonts w:hint="eastAsia"/>
          <w:lang w:eastAsia="zh-CN"/>
        </w:rPr>
        <w:t>》</w:t>
      </w:r>
      <w:r>
        <w:rPr>
          <w:rFonts w:hint="eastAsia"/>
          <w:lang w:val="en-US" w:eastAsia="zh-CN"/>
        </w:rPr>
        <w:t>的规定执行。</w:t>
      </w:r>
    </w:p>
    <w:tbl>
      <w:tblPr>
        <w:tblStyle w:val="7"/>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left w:w="108" w:type="dxa"/>
          <w:right w:w="108" w:type="dxa"/>
        </w:tblCellMar>
      </w:tblPr>
      <w:tblGrid>
        <w:gridCol w:w="9174"/>
      </w:tblGrid>
      <w:tr w14:paraId="6EF0B5E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left w:w="108" w:type="dxa"/>
            <w:right w:w="108" w:type="dxa"/>
          </w:tblCellMar>
        </w:tblPrEx>
        <w:tc>
          <w:tcPr>
            <w:tcW w:w="9174" w:type="dxa"/>
          </w:tcPr>
          <w:p w14:paraId="2B33EDF3">
            <w:pPr>
              <w:keepNext w:val="0"/>
              <w:keepLines w:val="0"/>
              <w:pageBreakBefore w:val="0"/>
              <w:numPr>
                <w:ilvl w:val="0"/>
                <w:numId w:val="0"/>
              </w:numPr>
              <w:kinsoku/>
              <w:overflowPunct/>
              <w:topLinePunct w:val="0"/>
              <w:bidi w:val="0"/>
              <w:snapToGrid/>
              <w:jc w:val="center"/>
              <w:textAlignment w:val="auto"/>
              <w:rPr>
                <w:rFonts w:hint="eastAsia" w:ascii="仿宋_GB2312" w:hAnsi="宋体" w:eastAsia="仿宋_GB2312" w:cs="Times New Roman"/>
                <w:b w:val="0"/>
                <w:bCs w:val="0"/>
                <w:color w:val="auto"/>
                <w:kern w:val="2"/>
                <w:sz w:val="32"/>
                <w:szCs w:val="32"/>
                <w:highlight w:val="none"/>
                <w:vertAlign w:val="baseline"/>
                <w:lang w:val="en-US" w:eastAsia="zh-CN" w:bidi="ar-SA"/>
              </w:rPr>
            </w:pPr>
            <w:r>
              <w:drawing>
                <wp:inline distT="0" distB="0" distL="114300" distR="114300">
                  <wp:extent cx="5686425" cy="2762250"/>
                  <wp:effectExtent l="0" t="0" r="9525"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8"/>
                          <a:stretch>
                            <a:fillRect/>
                          </a:stretch>
                        </pic:blipFill>
                        <pic:spPr>
                          <a:xfrm>
                            <a:off x="0" y="0"/>
                            <a:ext cx="5686425" cy="2762250"/>
                          </a:xfrm>
                          <a:prstGeom prst="rect">
                            <a:avLst/>
                          </a:prstGeom>
                          <a:noFill/>
                          <a:ln>
                            <a:noFill/>
                          </a:ln>
                        </pic:spPr>
                      </pic:pic>
                    </a:graphicData>
                  </a:graphic>
                </wp:inline>
              </w:drawing>
            </w:r>
          </w:p>
        </w:tc>
      </w:tr>
      <w:tr w14:paraId="41C5D07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left w:w="108" w:type="dxa"/>
            <w:right w:w="108" w:type="dxa"/>
          </w:tblCellMar>
        </w:tblPrEx>
        <w:tc>
          <w:tcPr>
            <w:tcW w:w="9174" w:type="dxa"/>
          </w:tcPr>
          <w:p w14:paraId="6E6387ED">
            <w:pPr>
              <w:keepNext w:val="0"/>
              <w:keepLines w:val="0"/>
              <w:pageBreakBefore w:val="0"/>
              <w:numPr>
                <w:ilvl w:val="0"/>
                <w:numId w:val="0"/>
              </w:numPr>
              <w:kinsoku/>
              <w:overflowPunct/>
              <w:topLinePunct w:val="0"/>
              <w:bidi w:val="0"/>
              <w:snapToGrid/>
              <w:textAlignment w:val="auto"/>
              <w:rPr>
                <w:rFonts w:hint="eastAsia" w:ascii="仿宋_GB2312" w:hAnsi="宋体" w:eastAsia="仿宋_GB2312" w:cs="Times New Roman"/>
                <w:b w:val="0"/>
                <w:bCs w:val="0"/>
                <w:color w:val="auto"/>
                <w:kern w:val="2"/>
                <w:sz w:val="32"/>
                <w:szCs w:val="32"/>
                <w:highlight w:val="none"/>
                <w:vertAlign w:val="baseline"/>
                <w:lang w:val="en-US" w:eastAsia="zh-CN" w:bidi="ar-SA"/>
              </w:rPr>
            </w:pPr>
            <w:r>
              <w:rPr>
                <w:rFonts w:hint="eastAsia" w:ascii="仿宋_GB2312" w:hAnsi="宋体" w:eastAsia="仿宋_GB2312" w:cs="Times New Roman"/>
                <w:b w:val="0"/>
                <w:bCs w:val="0"/>
                <w:color w:val="auto"/>
                <w:kern w:val="2"/>
                <w:sz w:val="24"/>
                <w:szCs w:val="24"/>
                <w:highlight w:val="none"/>
                <w:vertAlign w:val="baseline"/>
                <w:lang w:val="en-US" w:eastAsia="zh-CN" w:bidi="ar-SA"/>
              </w:rPr>
              <w:t>1、2</w:t>
            </w:r>
            <w:r>
              <w:rPr>
                <w:rFonts w:hint="eastAsia" w:ascii="仿宋_GB2312" w:hAnsi="宋体" w:cs="Times New Roman"/>
                <w:b w:val="0"/>
                <w:bCs w:val="0"/>
                <w:color w:val="auto"/>
                <w:kern w:val="2"/>
                <w:sz w:val="24"/>
                <w:szCs w:val="24"/>
                <w:highlight w:val="none"/>
                <w:vertAlign w:val="baseline"/>
                <w:lang w:val="en-US" w:eastAsia="zh-CN" w:bidi="ar-SA"/>
              </w:rPr>
              <w:t>、</w:t>
            </w:r>
            <w:r>
              <w:rPr>
                <w:rFonts w:hint="eastAsia" w:ascii="仿宋_GB2312" w:hAnsi="宋体" w:eastAsia="仿宋_GB2312" w:cs="Times New Roman"/>
                <w:b w:val="0"/>
                <w:bCs w:val="0"/>
                <w:color w:val="auto"/>
                <w:kern w:val="2"/>
                <w:sz w:val="24"/>
                <w:szCs w:val="24"/>
                <w:highlight w:val="none"/>
                <w:vertAlign w:val="baseline"/>
                <w:lang w:val="en-US" w:eastAsia="zh-CN" w:bidi="ar-SA"/>
              </w:rPr>
              <w:t>3</w:t>
            </w:r>
            <w:r>
              <w:rPr>
                <w:rFonts w:hint="eastAsia" w:ascii="仿宋_GB2312" w:hAnsi="宋体" w:cs="Times New Roman"/>
                <w:b w:val="0"/>
                <w:bCs w:val="0"/>
                <w:color w:val="auto"/>
                <w:kern w:val="2"/>
                <w:sz w:val="24"/>
                <w:szCs w:val="24"/>
                <w:highlight w:val="none"/>
                <w:vertAlign w:val="baseline"/>
                <w:lang w:val="en-US" w:eastAsia="zh-CN" w:bidi="ar-SA"/>
              </w:rPr>
              <w:t>、</w:t>
            </w:r>
            <w:r>
              <w:rPr>
                <w:rFonts w:hint="eastAsia" w:ascii="仿宋_GB2312" w:hAnsi="宋体" w:eastAsia="仿宋_GB2312" w:cs="Times New Roman"/>
                <w:b w:val="0"/>
                <w:bCs w:val="0"/>
                <w:color w:val="auto"/>
                <w:kern w:val="2"/>
                <w:sz w:val="24"/>
                <w:szCs w:val="24"/>
                <w:highlight w:val="none"/>
                <w:vertAlign w:val="baseline"/>
                <w:lang w:val="en-US" w:eastAsia="zh-CN" w:bidi="ar-SA"/>
              </w:rPr>
              <w:t>4分别为10</w:t>
            </w:r>
            <w:r>
              <w:rPr>
                <w:rFonts w:hint="eastAsia" w:ascii="仿宋_GB2312" w:hAnsi="宋体" w:cs="Times New Roman"/>
                <w:b w:val="0"/>
                <w:bCs w:val="0"/>
                <w:color w:val="auto"/>
                <w:kern w:val="2"/>
                <w:sz w:val="24"/>
                <w:szCs w:val="24"/>
                <w:highlight w:val="none"/>
                <w:vertAlign w:val="baseline"/>
                <w:lang w:val="en-US" w:eastAsia="zh-CN" w:bidi="ar-SA"/>
              </w:rPr>
              <w:t>℃</w:t>
            </w:r>
            <w:r>
              <w:rPr>
                <w:rFonts w:hint="eastAsia" w:ascii="仿宋_GB2312" w:hAnsi="宋体" w:eastAsia="仿宋_GB2312" w:cs="Times New Roman"/>
                <w:b w:val="0"/>
                <w:bCs w:val="0"/>
                <w:color w:val="auto"/>
                <w:kern w:val="2"/>
                <w:sz w:val="24"/>
                <w:szCs w:val="24"/>
                <w:highlight w:val="none"/>
                <w:vertAlign w:val="baseline"/>
                <w:lang w:val="en-US" w:eastAsia="zh-CN" w:bidi="ar-SA"/>
              </w:rPr>
              <w:t>、</w:t>
            </w:r>
            <w:r>
              <w:rPr>
                <w:rFonts w:hint="eastAsia" w:ascii="仿宋_GB2312" w:hAnsi="宋体" w:cs="Times New Roman"/>
                <w:b w:val="0"/>
                <w:bCs w:val="0"/>
                <w:color w:val="auto"/>
                <w:kern w:val="2"/>
                <w:sz w:val="24"/>
                <w:szCs w:val="24"/>
                <w:highlight w:val="none"/>
                <w:vertAlign w:val="baseline"/>
                <w:lang w:val="en-US" w:eastAsia="zh-CN" w:bidi="ar-SA"/>
              </w:rPr>
              <w:t>13</w:t>
            </w:r>
            <w:r>
              <w:rPr>
                <w:rFonts w:hint="eastAsia" w:ascii="仿宋_GB2312" w:hAnsi="宋体" w:cs="Times New Roman"/>
                <w:b w:val="0"/>
                <w:bCs w:val="0"/>
                <w:color w:val="auto"/>
                <w:kern w:val="2"/>
                <w:sz w:val="24"/>
                <w:szCs w:val="24"/>
                <w:highlight w:val="none"/>
                <w:vertAlign w:val="baseline"/>
                <w:lang w:val="en-US" w:eastAsia="zh-CN" w:bidi="ar-SA"/>
              </w:rPr>
              <w:t>℃</w:t>
            </w:r>
            <w:r>
              <w:rPr>
                <w:rFonts w:hint="eastAsia" w:ascii="仿宋_GB2312" w:hAnsi="宋体" w:eastAsia="仿宋_GB2312" w:cs="Times New Roman"/>
                <w:b w:val="0"/>
                <w:bCs w:val="0"/>
                <w:color w:val="auto"/>
                <w:kern w:val="2"/>
                <w:sz w:val="24"/>
                <w:szCs w:val="24"/>
                <w:highlight w:val="none"/>
                <w:vertAlign w:val="baseline"/>
                <w:lang w:val="en-US" w:eastAsia="zh-CN" w:bidi="ar-SA"/>
              </w:rPr>
              <w:t>、15</w:t>
            </w:r>
            <w:r>
              <w:rPr>
                <w:rFonts w:hint="eastAsia" w:ascii="仿宋_GB2312" w:hAnsi="宋体" w:cs="Times New Roman"/>
                <w:b w:val="0"/>
                <w:bCs w:val="0"/>
                <w:color w:val="auto"/>
                <w:kern w:val="2"/>
                <w:sz w:val="24"/>
                <w:szCs w:val="24"/>
                <w:highlight w:val="none"/>
                <w:vertAlign w:val="baseline"/>
                <w:lang w:val="en-US" w:eastAsia="zh-CN" w:bidi="ar-SA"/>
              </w:rPr>
              <w:t>℃</w:t>
            </w:r>
            <w:r>
              <w:rPr>
                <w:rFonts w:hint="eastAsia" w:ascii="仿宋_GB2312" w:hAnsi="宋体" w:eastAsia="仿宋_GB2312" w:cs="Times New Roman"/>
                <w:b w:val="0"/>
                <w:bCs w:val="0"/>
                <w:color w:val="auto"/>
                <w:kern w:val="2"/>
                <w:sz w:val="24"/>
                <w:szCs w:val="24"/>
                <w:highlight w:val="none"/>
                <w:vertAlign w:val="baseline"/>
                <w:lang w:val="en-US" w:eastAsia="zh-CN" w:bidi="ar-SA"/>
              </w:rPr>
              <w:t>和常温下未包衣甘蔗单芽种茎保存10d</w:t>
            </w:r>
            <w:r>
              <w:rPr>
                <w:rFonts w:hint="eastAsia" w:ascii="仿宋_GB2312" w:hAnsi="宋体" w:cs="Times New Roman"/>
                <w:b w:val="0"/>
                <w:bCs w:val="0"/>
                <w:color w:val="auto"/>
                <w:kern w:val="2"/>
                <w:sz w:val="24"/>
                <w:szCs w:val="24"/>
                <w:highlight w:val="none"/>
                <w:vertAlign w:val="baseline"/>
                <w:lang w:val="en-US" w:eastAsia="zh-CN" w:bidi="ar-SA"/>
              </w:rPr>
              <w:t>；</w:t>
            </w:r>
            <w:r>
              <w:rPr>
                <w:rFonts w:hint="eastAsia" w:ascii="仿宋_GB2312" w:hAnsi="宋体" w:eastAsia="仿宋_GB2312" w:cs="Times New Roman"/>
                <w:b w:val="0"/>
                <w:bCs w:val="0"/>
                <w:color w:val="auto"/>
                <w:kern w:val="2"/>
                <w:sz w:val="24"/>
                <w:szCs w:val="24"/>
                <w:highlight w:val="none"/>
                <w:vertAlign w:val="baseline"/>
                <w:lang w:val="en-US" w:eastAsia="zh-CN" w:bidi="ar-SA"/>
              </w:rPr>
              <w:t>5</w:t>
            </w:r>
            <w:r>
              <w:rPr>
                <w:rFonts w:hint="eastAsia" w:ascii="仿宋_GB2312" w:hAnsi="宋体" w:cs="Times New Roman"/>
                <w:b w:val="0"/>
                <w:bCs w:val="0"/>
                <w:color w:val="auto"/>
                <w:kern w:val="2"/>
                <w:sz w:val="24"/>
                <w:szCs w:val="24"/>
                <w:highlight w:val="none"/>
                <w:vertAlign w:val="baseline"/>
                <w:lang w:val="en-US" w:eastAsia="zh-CN" w:bidi="ar-SA"/>
              </w:rPr>
              <w:t>、</w:t>
            </w:r>
            <w:r>
              <w:rPr>
                <w:rFonts w:hint="eastAsia" w:ascii="仿宋_GB2312" w:hAnsi="宋体" w:eastAsia="仿宋_GB2312" w:cs="Times New Roman"/>
                <w:b w:val="0"/>
                <w:bCs w:val="0"/>
                <w:color w:val="auto"/>
                <w:kern w:val="2"/>
                <w:sz w:val="24"/>
                <w:szCs w:val="24"/>
                <w:highlight w:val="none"/>
                <w:vertAlign w:val="baseline"/>
                <w:lang w:val="en-US" w:eastAsia="zh-CN" w:bidi="ar-SA"/>
              </w:rPr>
              <w:t>6</w:t>
            </w:r>
            <w:r>
              <w:rPr>
                <w:rFonts w:hint="eastAsia" w:ascii="仿宋_GB2312" w:hAnsi="宋体" w:cs="Times New Roman"/>
                <w:b w:val="0"/>
                <w:bCs w:val="0"/>
                <w:color w:val="auto"/>
                <w:kern w:val="2"/>
                <w:sz w:val="24"/>
                <w:szCs w:val="24"/>
                <w:highlight w:val="none"/>
                <w:vertAlign w:val="baseline"/>
                <w:lang w:val="en-US" w:eastAsia="zh-CN" w:bidi="ar-SA"/>
              </w:rPr>
              <w:t>、</w:t>
            </w:r>
            <w:r>
              <w:rPr>
                <w:rFonts w:hint="eastAsia" w:ascii="仿宋_GB2312" w:hAnsi="宋体" w:eastAsia="仿宋_GB2312" w:cs="Times New Roman"/>
                <w:b w:val="0"/>
                <w:bCs w:val="0"/>
                <w:color w:val="auto"/>
                <w:kern w:val="2"/>
                <w:sz w:val="24"/>
                <w:szCs w:val="24"/>
                <w:highlight w:val="none"/>
                <w:vertAlign w:val="baseline"/>
                <w:lang w:val="en-US" w:eastAsia="zh-CN" w:bidi="ar-SA"/>
              </w:rPr>
              <w:t>7</w:t>
            </w:r>
            <w:r>
              <w:rPr>
                <w:rFonts w:hint="eastAsia" w:ascii="仿宋_GB2312" w:hAnsi="宋体" w:cs="Times New Roman"/>
                <w:b w:val="0"/>
                <w:bCs w:val="0"/>
                <w:color w:val="auto"/>
                <w:kern w:val="2"/>
                <w:sz w:val="24"/>
                <w:szCs w:val="24"/>
                <w:highlight w:val="none"/>
                <w:vertAlign w:val="baseline"/>
                <w:lang w:val="en-US" w:eastAsia="zh-CN" w:bidi="ar-SA"/>
              </w:rPr>
              <w:t>、</w:t>
            </w:r>
            <w:r>
              <w:rPr>
                <w:rFonts w:hint="eastAsia" w:ascii="仿宋_GB2312" w:hAnsi="宋体" w:eastAsia="仿宋_GB2312" w:cs="Times New Roman"/>
                <w:b w:val="0"/>
                <w:bCs w:val="0"/>
                <w:color w:val="auto"/>
                <w:kern w:val="2"/>
                <w:sz w:val="24"/>
                <w:szCs w:val="24"/>
                <w:highlight w:val="none"/>
                <w:vertAlign w:val="baseline"/>
                <w:lang w:val="en-US" w:eastAsia="zh-CN" w:bidi="ar-SA"/>
              </w:rPr>
              <w:t>8分别为</w:t>
            </w:r>
            <w:r>
              <w:rPr>
                <w:rFonts w:hint="eastAsia" w:ascii="仿宋_GB2312" w:hAnsi="宋体" w:eastAsia="仿宋_GB2312" w:cs="Times New Roman"/>
                <w:b w:val="0"/>
                <w:bCs w:val="0"/>
                <w:color w:val="auto"/>
                <w:kern w:val="2"/>
                <w:sz w:val="24"/>
                <w:szCs w:val="24"/>
                <w:highlight w:val="none"/>
                <w:vertAlign w:val="baseline"/>
                <w:lang w:val="en-US" w:eastAsia="zh-CN" w:bidi="ar-SA"/>
              </w:rPr>
              <w:t>10</w:t>
            </w:r>
            <w:r>
              <w:rPr>
                <w:rFonts w:hint="eastAsia" w:ascii="仿宋_GB2312" w:hAnsi="宋体" w:cs="Times New Roman"/>
                <w:b w:val="0"/>
                <w:bCs w:val="0"/>
                <w:color w:val="auto"/>
                <w:kern w:val="2"/>
                <w:sz w:val="24"/>
                <w:szCs w:val="24"/>
                <w:highlight w:val="none"/>
                <w:vertAlign w:val="baseline"/>
                <w:lang w:val="en-US" w:eastAsia="zh-CN" w:bidi="ar-SA"/>
              </w:rPr>
              <w:t>℃</w:t>
            </w:r>
            <w:r>
              <w:rPr>
                <w:rFonts w:hint="eastAsia" w:ascii="仿宋_GB2312" w:hAnsi="宋体" w:eastAsia="仿宋_GB2312" w:cs="Times New Roman"/>
                <w:b w:val="0"/>
                <w:bCs w:val="0"/>
                <w:color w:val="auto"/>
                <w:kern w:val="2"/>
                <w:sz w:val="24"/>
                <w:szCs w:val="24"/>
                <w:highlight w:val="none"/>
                <w:vertAlign w:val="baseline"/>
                <w:lang w:val="en-US" w:eastAsia="zh-CN" w:bidi="ar-SA"/>
              </w:rPr>
              <w:t>、</w:t>
            </w:r>
            <w:r>
              <w:rPr>
                <w:rFonts w:hint="eastAsia" w:ascii="仿宋_GB2312" w:hAnsi="宋体" w:cs="Times New Roman"/>
                <w:b w:val="0"/>
                <w:bCs w:val="0"/>
                <w:color w:val="auto"/>
                <w:kern w:val="2"/>
                <w:sz w:val="24"/>
                <w:szCs w:val="24"/>
                <w:highlight w:val="none"/>
                <w:vertAlign w:val="baseline"/>
                <w:lang w:val="en-US" w:eastAsia="zh-CN" w:bidi="ar-SA"/>
              </w:rPr>
              <w:t>13℃</w:t>
            </w:r>
            <w:r>
              <w:rPr>
                <w:rFonts w:hint="eastAsia" w:ascii="仿宋_GB2312" w:hAnsi="宋体" w:eastAsia="仿宋_GB2312" w:cs="Times New Roman"/>
                <w:b w:val="0"/>
                <w:bCs w:val="0"/>
                <w:color w:val="auto"/>
                <w:kern w:val="2"/>
                <w:sz w:val="24"/>
                <w:szCs w:val="24"/>
                <w:highlight w:val="none"/>
                <w:vertAlign w:val="baseline"/>
                <w:lang w:val="en-US" w:eastAsia="zh-CN" w:bidi="ar-SA"/>
              </w:rPr>
              <w:t>、15</w:t>
            </w:r>
            <w:r>
              <w:rPr>
                <w:rFonts w:hint="eastAsia" w:ascii="仿宋_GB2312" w:hAnsi="宋体" w:cs="Times New Roman"/>
                <w:b w:val="0"/>
                <w:bCs w:val="0"/>
                <w:color w:val="auto"/>
                <w:kern w:val="2"/>
                <w:sz w:val="24"/>
                <w:szCs w:val="24"/>
                <w:highlight w:val="none"/>
                <w:vertAlign w:val="baseline"/>
                <w:lang w:val="en-US" w:eastAsia="zh-CN" w:bidi="ar-SA"/>
              </w:rPr>
              <w:t>℃</w:t>
            </w:r>
            <w:r>
              <w:rPr>
                <w:rFonts w:hint="eastAsia" w:ascii="仿宋_GB2312" w:hAnsi="宋体" w:eastAsia="仿宋_GB2312" w:cs="Times New Roman"/>
                <w:b w:val="0"/>
                <w:bCs w:val="0"/>
                <w:color w:val="auto"/>
                <w:kern w:val="2"/>
                <w:sz w:val="24"/>
                <w:szCs w:val="24"/>
                <w:highlight w:val="none"/>
                <w:vertAlign w:val="baseline"/>
                <w:lang w:val="en-US" w:eastAsia="zh-CN" w:bidi="ar-SA"/>
              </w:rPr>
              <w:t>和常温下未包衣甘蔗单芽种茎保存20d</w:t>
            </w:r>
            <w:r>
              <w:rPr>
                <w:rFonts w:hint="eastAsia" w:ascii="仿宋_GB2312" w:hAnsi="宋体" w:cs="Times New Roman"/>
                <w:b w:val="0"/>
                <w:bCs w:val="0"/>
                <w:color w:val="auto"/>
                <w:kern w:val="2"/>
                <w:sz w:val="24"/>
                <w:szCs w:val="24"/>
                <w:highlight w:val="none"/>
                <w:vertAlign w:val="baseline"/>
                <w:lang w:val="en-US" w:eastAsia="zh-CN" w:bidi="ar-SA"/>
              </w:rPr>
              <w:t>；</w:t>
            </w:r>
            <w:r>
              <w:rPr>
                <w:rFonts w:hint="eastAsia" w:ascii="仿宋_GB2312" w:hAnsi="宋体" w:eastAsia="仿宋_GB2312" w:cs="Times New Roman"/>
                <w:b w:val="0"/>
                <w:bCs w:val="0"/>
                <w:color w:val="auto"/>
                <w:kern w:val="2"/>
                <w:sz w:val="24"/>
                <w:szCs w:val="24"/>
                <w:highlight w:val="none"/>
                <w:vertAlign w:val="baseline"/>
                <w:lang w:val="en-US" w:eastAsia="zh-CN" w:bidi="ar-SA"/>
              </w:rPr>
              <w:t>9、10、11、12分别为</w:t>
            </w:r>
            <w:r>
              <w:rPr>
                <w:rFonts w:hint="eastAsia" w:ascii="仿宋_GB2312" w:hAnsi="宋体" w:eastAsia="仿宋_GB2312" w:cs="Times New Roman"/>
                <w:b w:val="0"/>
                <w:bCs w:val="0"/>
                <w:color w:val="auto"/>
                <w:kern w:val="2"/>
                <w:sz w:val="24"/>
                <w:szCs w:val="24"/>
                <w:highlight w:val="none"/>
                <w:vertAlign w:val="baseline"/>
                <w:lang w:val="en-US" w:eastAsia="zh-CN" w:bidi="ar-SA"/>
              </w:rPr>
              <w:t>10</w:t>
            </w:r>
            <w:r>
              <w:rPr>
                <w:rFonts w:hint="eastAsia" w:ascii="仿宋_GB2312" w:hAnsi="宋体" w:cs="Times New Roman"/>
                <w:b w:val="0"/>
                <w:bCs w:val="0"/>
                <w:color w:val="auto"/>
                <w:kern w:val="2"/>
                <w:sz w:val="24"/>
                <w:szCs w:val="24"/>
                <w:highlight w:val="none"/>
                <w:vertAlign w:val="baseline"/>
                <w:lang w:val="en-US" w:eastAsia="zh-CN" w:bidi="ar-SA"/>
              </w:rPr>
              <w:t>℃</w:t>
            </w:r>
            <w:r>
              <w:rPr>
                <w:rFonts w:hint="eastAsia" w:ascii="仿宋_GB2312" w:hAnsi="宋体" w:eastAsia="仿宋_GB2312" w:cs="Times New Roman"/>
                <w:b w:val="0"/>
                <w:bCs w:val="0"/>
                <w:color w:val="auto"/>
                <w:kern w:val="2"/>
                <w:sz w:val="24"/>
                <w:szCs w:val="24"/>
                <w:highlight w:val="none"/>
                <w:vertAlign w:val="baseline"/>
                <w:lang w:val="en-US" w:eastAsia="zh-CN" w:bidi="ar-SA"/>
              </w:rPr>
              <w:t>、</w:t>
            </w:r>
            <w:r>
              <w:rPr>
                <w:rFonts w:hint="eastAsia" w:ascii="仿宋_GB2312" w:hAnsi="宋体" w:cs="Times New Roman"/>
                <w:b w:val="0"/>
                <w:bCs w:val="0"/>
                <w:color w:val="auto"/>
                <w:kern w:val="2"/>
                <w:sz w:val="24"/>
                <w:szCs w:val="24"/>
                <w:highlight w:val="none"/>
                <w:vertAlign w:val="baseline"/>
                <w:lang w:val="en-US" w:eastAsia="zh-CN" w:bidi="ar-SA"/>
              </w:rPr>
              <w:t>13℃</w:t>
            </w:r>
            <w:r>
              <w:rPr>
                <w:rFonts w:hint="eastAsia" w:ascii="仿宋_GB2312" w:hAnsi="宋体" w:eastAsia="仿宋_GB2312" w:cs="Times New Roman"/>
                <w:b w:val="0"/>
                <w:bCs w:val="0"/>
                <w:color w:val="auto"/>
                <w:kern w:val="2"/>
                <w:sz w:val="24"/>
                <w:szCs w:val="24"/>
                <w:highlight w:val="none"/>
                <w:vertAlign w:val="baseline"/>
                <w:lang w:val="en-US" w:eastAsia="zh-CN" w:bidi="ar-SA"/>
              </w:rPr>
              <w:t>、15</w:t>
            </w:r>
            <w:r>
              <w:rPr>
                <w:rFonts w:hint="eastAsia" w:ascii="仿宋_GB2312" w:hAnsi="宋体" w:cs="Times New Roman"/>
                <w:b w:val="0"/>
                <w:bCs w:val="0"/>
                <w:color w:val="auto"/>
                <w:kern w:val="2"/>
                <w:sz w:val="24"/>
                <w:szCs w:val="24"/>
                <w:highlight w:val="none"/>
                <w:vertAlign w:val="baseline"/>
                <w:lang w:val="en-US" w:eastAsia="zh-CN" w:bidi="ar-SA"/>
              </w:rPr>
              <w:t>℃</w:t>
            </w:r>
            <w:r>
              <w:rPr>
                <w:rFonts w:hint="eastAsia" w:ascii="仿宋_GB2312" w:hAnsi="宋体" w:eastAsia="仿宋_GB2312" w:cs="Times New Roman"/>
                <w:b w:val="0"/>
                <w:bCs w:val="0"/>
                <w:color w:val="auto"/>
                <w:kern w:val="2"/>
                <w:sz w:val="24"/>
                <w:szCs w:val="24"/>
                <w:highlight w:val="none"/>
                <w:vertAlign w:val="baseline"/>
                <w:lang w:val="en-US" w:eastAsia="zh-CN" w:bidi="ar-SA"/>
              </w:rPr>
              <w:t>和常温下未包衣甘蔗单芽种茎保存30d</w:t>
            </w:r>
          </w:p>
        </w:tc>
      </w:tr>
      <w:tr w14:paraId="2B7A463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left w:w="108" w:type="dxa"/>
            <w:right w:w="108" w:type="dxa"/>
          </w:tblCellMar>
        </w:tblPrEx>
        <w:tc>
          <w:tcPr>
            <w:tcW w:w="9174" w:type="dxa"/>
          </w:tcPr>
          <w:p w14:paraId="4ECB4F7F">
            <w:pPr>
              <w:keepNext w:val="0"/>
              <w:keepLines w:val="0"/>
              <w:pageBreakBefore w:val="0"/>
              <w:numPr>
                <w:ilvl w:val="0"/>
                <w:numId w:val="0"/>
              </w:numPr>
              <w:kinsoku/>
              <w:overflowPunct/>
              <w:topLinePunct w:val="0"/>
              <w:bidi w:val="0"/>
              <w:snapToGrid/>
              <w:textAlignment w:val="auto"/>
              <w:rPr>
                <w:rFonts w:hint="eastAsia" w:ascii="仿宋_GB2312" w:hAnsi="宋体" w:eastAsia="仿宋_GB2312" w:cs="Times New Roman"/>
                <w:b w:val="0"/>
                <w:bCs w:val="0"/>
                <w:color w:val="auto"/>
                <w:kern w:val="2"/>
                <w:sz w:val="24"/>
                <w:szCs w:val="24"/>
                <w:highlight w:val="none"/>
                <w:vertAlign w:val="baseline"/>
                <w:lang w:val="en-US" w:eastAsia="zh-CN" w:bidi="ar-SA"/>
              </w:rPr>
            </w:pPr>
            <w:r>
              <w:drawing>
                <wp:inline distT="0" distB="0" distL="114300" distR="114300">
                  <wp:extent cx="5682615" cy="2724785"/>
                  <wp:effectExtent l="0" t="0" r="13335" b="1841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9"/>
                          <a:stretch>
                            <a:fillRect/>
                          </a:stretch>
                        </pic:blipFill>
                        <pic:spPr>
                          <a:xfrm>
                            <a:off x="0" y="0"/>
                            <a:ext cx="5682615" cy="2724785"/>
                          </a:xfrm>
                          <a:prstGeom prst="rect">
                            <a:avLst/>
                          </a:prstGeom>
                          <a:noFill/>
                          <a:ln>
                            <a:noFill/>
                          </a:ln>
                        </pic:spPr>
                      </pic:pic>
                    </a:graphicData>
                  </a:graphic>
                </wp:inline>
              </w:drawing>
            </w:r>
          </w:p>
        </w:tc>
      </w:tr>
      <w:tr w14:paraId="1977BCE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left w:w="108" w:type="dxa"/>
            <w:right w:w="108" w:type="dxa"/>
          </w:tblCellMar>
        </w:tblPrEx>
        <w:tc>
          <w:tcPr>
            <w:tcW w:w="9174" w:type="dxa"/>
          </w:tcPr>
          <w:p w14:paraId="3C1BE966">
            <w:pPr>
              <w:keepNext w:val="0"/>
              <w:keepLines w:val="0"/>
              <w:pageBreakBefore w:val="0"/>
              <w:numPr>
                <w:ilvl w:val="0"/>
                <w:numId w:val="0"/>
              </w:numPr>
              <w:kinsoku/>
              <w:overflowPunct/>
              <w:topLinePunct w:val="0"/>
              <w:bidi w:val="0"/>
              <w:snapToGrid/>
              <w:textAlignment w:val="auto"/>
              <w:rPr>
                <w:rFonts w:hint="eastAsia" w:ascii="仿宋_GB2312" w:hAnsi="宋体" w:eastAsia="仿宋_GB2312" w:cs="Times New Roman"/>
                <w:b w:val="0"/>
                <w:bCs w:val="0"/>
                <w:color w:val="auto"/>
                <w:kern w:val="2"/>
                <w:sz w:val="24"/>
                <w:szCs w:val="24"/>
                <w:highlight w:val="none"/>
                <w:vertAlign w:val="baseline"/>
                <w:lang w:val="en-US" w:eastAsia="zh-CN" w:bidi="ar-SA"/>
              </w:rPr>
            </w:pPr>
            <w:r>
              <w:rPr>
                <w:rFonts w:hint="eastAsia" w:ascii="仿宋_GB2312" w:hAnsi="宋体" w:eastAsia="仿宋_GB2312" w:cs="Times New Roman"/>
                <w:b w:val="0"/>
                <w:bCs w:val="0"/>
                <w:color w:val="auto"/>
                <w:kern w:val="2"/>
                <w:sz w:val="24"/>
                <w:szCs w:val="24"/>
                <w:highlight w:val="none"/>
                <w:vertAlign w:val="baseline"/>
                <w:lang w:val="en-US" w:eastAsia="zh-CN" w:bidi="ar-SA"/>
              </w:rPr>
              <w:t>13、14</w:t>
            </w:r>
            <w:r>
              <w:rPr>
                <w:rFonts w:hint="eastAsia" w:ascii="仿宋_GB2312" w:hAnsi="宋体" w:cs="Times New Roman"/>
                <w:b w:val="0"/>
                <w:bCs w:val="0"/>
                <w:color w:val="auto"/>
                <w:kern w:val="2"/>
                <w:sz w:val="24"/>
                <w:szCs w:val="24"/>
                <w:highlight w:val="none"/>
                <w:vertAlign w:val="baseline"/>
                <w:lang w:val="en-US" w:eastAsia="zh-CN" w:bidi="ar-SA"/>
              </w:rPr>
              <w:t>、</w:t>
            </w:r>
            <w:r>
              <w:rPr>
                <w:rFonts w:hint="eastAsia" w:ascii="仿宋_GB2312" w:hAnsi="宋体" w:eastAsia="仿宋_GB2312" w:cs="Times New Roman"/>
                <w:b w:val="0"/>
                <w:bCs w:val="0"/>
                <w:color w:val="auto"/>
                <w:kern w:val="2"/>
                <w:sz w:val="24"/>
                <w:szCs w:val="24"/>
                <w:highlight w:val="none"/>
                <w:vertAlign w:val="baseline"/>
                <w:lang w:val="en-US" w:eastAsia="zh-CN" w:bidi="ar-SA"/>
              </w:rPr>
              <w:t>15</w:t>
            </w:r>
            <w:r>
              <w:rPr>
                <w:rFonts w:hint="eastAsia" w:ascii="仿宋_GB2312" w:hAnsi="宋体" w:cs="Times New Roman"/>
                <w:b w:val="0"/>
                <w:bCs w:val="0"/>
                <w:color w:val="auto"/>
                <w:kern w:val="2"/>
                <w:sz w:val="24"/>
                <w:szCs w:val="24"/>
                <w:highlight w:val="none"/>
                <w:vertAlign w:val="baseline"/>
                <w:lang w:val="en-US" w:eastAsia="zh-CN" w:bidi="ar-SA"/>
              </w:rPr>
              <w:t>、</w:t>
            </w:r>
            <w:r>
              <w:rPr>
                <w:rFonts w:hint="eastAsia" w:ascii="仿宋_GB2312" w:hAnsi="宋体" w:eastAsia="仿宋_GB2312" w:cs="Times New Roman"/>
                <w:b w:val="0"/>
                <w:bCs w:val="0"/>
                <w:color w:val="auto"/>
                <w:kern w:val="2"/>
                <w:sz w:val="24"/>
                <w:szCs w:val="24"/>
                <w:highlight w:val="none"/>
                <w:vertAlign w:val="baseline"/>
                <w:lang w:val="en-US" w:eastAsia="zh-CN" w:bidi="ar-SA"/>
              </w:rPr>
              <w:t>16分别为10</w:t>
            </w:r>
            <w:r>
              <w:rPr>
                <w:rFonts w:hint="eastAsia" w:ascii="仿宋_GB2312" w:hAnsi="宋体" w:cs="Times New Roman"/>
                <w:b w:val="0"/>
                <w:bCs w:val="0"/>
                <w:color w:val="auto"/>
                <w:kern w:val="2"/>
                <w:sz w:val="24"/>
                <w:szCs w:val="24"/>
                <w:highlight w:val="none"/>
                <w:vertAlign w:val="baseline"/>
                <w:lang w:val="en-US" w:eastAsia="zh-CN" w:bidi="ar-SA"/>
              </w:rPr>
              <w:t>℃</w:t>
            </w:r>
            <w:r>
              <w:rPr>
                <w:rFonts w:hint="eastAsia" w:ascii="仿宋_GB2312" w:hAnsi="宋体" w:eastAsia="仿宋_GB2312" w:cs="Times New Roman"/>
                <w:b w:val="0"/>
                <w:bCs w:val="0"/>
                <w:color w:val="auto"/>
                <w:kern w:val="2"/>
                <w:sz w:val="24"/>
                <w:szCs w:val="24"/>
                <w:highlight w:val="none"/>
                <w:vertAlign w:val="baseline"/>
                <w:lang w:val="en-US" w:eastAsia="zh-CN" w:bidi="ar-SA"/>
              </w:rPr>
              <w:t>、</w:t>
            </w:r>
            <w:r>
              <w:rPr>
                <w:rFonts w:hint="eastAsia" w:ascii="仿宋_GB2312" w:hAnsi="宋体" w:cs="Times New Roman"/>
                <w:b w:val="0"/>
                <w:bCs w:val="0"/>
                <w:color w:val="auto"/>
                <w:kern w:val="2"/>
                <w:sz w:val="24"/>
                <w:szCs w:val="24"/>
                <w:highlight w:val="none"/>
                <w:vertAlign w:val="baseline"/>
                <w:lang w:val="en-US" w:eastAsia="zh-CN" w:bidi="ar-SA"/>
              </w:rPr>
              <w:t>13℃</w:t>
            </w:r>
            <w:r>
              <w:rPr>
                <w:rFonts w:hint="eastAsia" w:ascii="仿宋_GB2312" w:hAnsi="宋体" w:eastAsia="仿宋_GB2312" w:cs="Times New Roman"/>
                <w:b w:val="0"/>
                <w:bCs w:val="0"/>
                <w:color w:val="auto"/>
                <w:kern w:val="2"/>
                <w:sz w:val="24"/>
                <w:szCs w:val="24"/>
                <w:highlight w:val="none"/>
                <w:vertAlign w:val="baseline"/>
                <w:lang w:val="en-US" w:eastAsia="zh-CN" w:bidi="ar-SA"/>
              </w:rPr>
              <w:t>、15</w:t>
            </w:r>
            <w:r>
              <w:rPr>
                <w:rFonts w:hint="eastAsia" w:ascii="仿宋_GB2312" w:hAnsi="宋体" w:cs="Times New Roman"/>
                <w:b w:val="0"/>
                <w:bCs w:val="0"/>
                <w:color w:val="auto"/>
                <w:kern w:val="2"/>
                <w:sz w:val="24"/>
                <w:szCs w:val="24"/>
                <w:highlight w:val="none"/>
                <w:vertAlign w:val="baseline"/>
                <w:lang w:val="en-US" w:eastAsia="zh-CN" w:bidi="ar-SA"/>
              </w:rPr>
              <w:t>℃</w:t>
            </w:r>
            <w:r>
              <w:rPr>
                <w:rFonts w:hint="eastAsia" w:ascii="仿宋_GB2312" w:hAnsi="宋体" w:eastAsia="仿宋_GB2312" w:cs="Times New Roman"/>
                <w:b w:val="0"/>
                <w:bCs w:val="0"/>
                <w:color w:val="auto"/>
                <w:kern w:val="2"/>
                <w:sz w:val="24"/>
                <w:szCs w:val="24"/>
                <w:highlight w:val="none"/>
                <w:vertAlign w:val="baseline"/>
                <w:lang w:val="en-US" w:eastAsia="zh-CN" w:bidi="ar-SA"/>
              </w:rPr>
              <w:t>和常温下包衣甘蔗单芽种茎保存10d</w:t>
            </w:r>
            <w:r>
              <w:rPr>
                <w:rFonts w:hint="eastAsia" w:ascii="仿宋_GB2312" w:hAnsi="宋体" w:cs="Times New Roman"/>
                <w:b w:val="0"/>
                <w:bCs w:val="0"/>
                <w:color w:val="auto"/>
                <w:kern w:val="2"/>
                <w:sz w:val="24"/>
                <w:szCs w:val="24"/>
                <w:highlight w:val="none"/>
                <w:vertAlign w:val="baseline"/>
                <w:lang w:val="en-US" w:eastAsia="zh-CN" w:bidi="ar-SA"/>
              </w:rPr>
              <w:t>；</w:t>
            </w:r>
            <w:r>
              <w:rPr>
                <w:rFonts w:hint="eastAsia" w:ascii="仿宋_GB2312" w:hAnsi="宋体" w:eastAsia="仿宋_GB2312" w:cs="Times New Roman"/>
                <w:b w:val="0"/>
                <w:bCs w:val="0"/>
                <w:color w:val="auto"/>
                <w:kern w:val="2"/>
                <w:sz w:val="24"/>
                <w:szCs w:val="24"/>
                <w:highlight w:val="none"/>
                <w:vertAlign w:val="baseline"/>
                <w:lang w:val="en-US" w:eastAsia="zh-CN" w:bidi="ar-SA"/>
              </w:rPr>
              <w:t>17、18</w:t>
            </w:r>
            <w:r>
              <w:rPr>
                <w:rFonts w:hint="eastAsia" w:ascii="仿宋_GB2312" w:hAnsi="宋体" w:cs="Times New Roman"/>
                <w:b w:val="0"/>
                <w:bCs w:val="0"/>
                <w:color w:val="auto"/>
                <w:kern w:val="2"/>
                <w:sz w:val="24"/>
                <w:szCs w:val="24"/>
                <w:highlight w:val="none"/>
                <w:vertAlign w:val="baseline"/>
                <w:lang w:val="en-US" w:eastAsia="zh-CN" w:bidi="ar-SA"/>
              </w:rPr>
              <w:t>、</w:t>
            </w:r>
            <w:r>
              <w:rPr>
                <w:rFonts w:hint="eastAsia" w:ascii="仿宋_GB2312" w:hAnsi="宋体" w:eastAsia="仿宋_GB2312" w:cs="Times New Roman"/>
                <w:b w:val="0"/>
                <w:bCs w:val="0"/>
                <w:color w:val="auto"/>
                <w:kern w:val="2"/>
                <w:sz w:val="24"/>
                <w:szCs w:val="24"/>
                <w:highlight w:val="none"/>
                <w:vertAlign w:val="baseline"/>
                <w:lang w:val="en-US" w:eastAsia="zh-CN" w:bidi="ar-SA"/>
              </w:rPr>
              <w:t>19</w:t>
            </w:r>
            <w:r>
              <w:rPr>
                <w:rFonts w:hint="eastAsia" w:ascii="仿宋_GB2312" w:hAnsi="宋体" w:cs="Times New Roman"/>
                <w:b w:val="0"/>
                <w:bCs w:val="0"/>
                <w:color w:val="auto"/>
                <w:kern w:val="2"/>
                <w:sz w:val="24"/>
                <w:szCs w:val="24"/>
                <w:highlight w:val="none"/>
                <w:vertAlign w:val="baseline"/>
                <w:lang w:val="en-US" w:eastAsia="zh-CN" w:bidi="ar-SA"/>
              </w:rPr>
              <w:t>、</w:t>
            </w:r>
            <w:r>
              <w:rPr>
                <w:rFonts w:hint="eastAsia" w:ascii="仿宋_GB2312" w:hAnsi="宋体" w:eastAsia="仿宋_GB2312" w:cs="Times New Roman"/>
                <w:b w:val="0"/>
                <w:bCs w:val="0"/>
                <w:color w:val="auto"/>
                <w:kern w:val="2"/>
                <w:sz w:val="24"/>
                <w:szCs w:val="24"/>
                <w:highlight w:val="none"/>
                <w:vertAlign w:val="baseline"/>
                <w:lang w:val="en-US" w:eastAsia="zh-CN" w:bidi="ar-SA"/>
              </w:rPr>
              <w:t>20分别为10</w:t>
            </w:r>
            <w:r>
              <w:rPr>
                <w:rFonts w:hint="eastAsia" w:ascii="仿宋_GB2312" w:hAnsi="宋体" w:cs="Times New Roman"/>
                <w:b w:val="0"/>
                <w:bCs w:val="0"/>
                <w:color w:val="auto"/>
                <w:kern w:val="2"/>
                <w:sz w:val="24"/>
                <w:szCs w:val="24"/>
                <w:highlight w:val="none"/>
                <w:vertAlign w:val="baseline"/>
                <w:lang w:val="en-US" w:eastAsia="zh-CN" w:bidi="ar-SA"/>
              </w:rPr>
              <w:t>℃</w:t>
            </w:r>
            <w:r>
              <w:rPr>
                <w:rFonts w:hint="eastAsia" w:ascii="仿宋_GB2312" w:hAnsi="宋体" w:eastAsia="仿宋_GB2312" w:cs="Times New Roman"/>
                <w:b w:val="0"/>
                <w:bCs w:val="0"/>
                <w:color w:val="auto"/>
                <w:kern w:val="2"/>
                <w:sz w:val="24"/>
                <w:szCs w:val="24"/>
                <w:highlight w:val="none"/>
                <w:vertAlign w:val="baseline"/>
                <w:lang w:val="en-US" w:eastAsia="zh-CN" w:bidi="ar-SA"/>
              </w:rPr>
              <w:t>、</w:t>
            </w:r>
            <w:r>
              <w:rPr>
                <w:rFonts w:hint="eastAsia" w:ascii="仿宋_GB2312" w:hAnsi="宋体" w:cs="Times New Roman"/>
                <w:b w:val="0"/>
                <w:bCs w:val="0"/>
                <w:color w:val="auto"/>
                <w:kern w:val="2"/>
                <w:sz w:val="24"/>
                <w:szCs w:val="24"/>
                <w:highlight w:val="none"/>
                <w:vertAlign w:val="baseline"/>
                <w:lang w:val="en-US" w:eastAsia="zh-CN" w:bidi="ar-SA"/>
              </w:rPr>
              <w:t>13℃</w:t>
            </w:r>
            <w:r>
              <w:rPr>
                <w:rFonts w:hint="eastAsia" w:ascii="仿宋_GB2312" w:hAnsi="宋体" w:eastAsia="仿宋_GB2312" w:cs="Times New Roman"/>
                <w:b w:val="0"/>
                <w:bCs w:val="0"/>
                <w:color w:val="auto"/>
                <w:kern w:val="2"/>
                <w:sz w:val="24"/>
                <w:szCs w:val="24"/>
                <w:highlight w:val="none"/>
                <w:vertAlign w:val="baseline"/>
                <w:lang w:val="en-US" w:eastAsia="zh-CN" w:bidi="ar-SA"/>
              </w:rPr>
              <w:t>、15</w:t>
            </w:r>
            <w:r>
              <w:rPr>
                <w:rFonts w:hint="eastAsia" w:ascii="仿宋_GB2312" w:hAnsi="宋体" w:cs="Times New Roman"/>
                <w:b w:val="0"/>
                <w:bCs w:val="0"/>
                <w:color w:val="auto"/>
                <w:kern w:val="2"/>
                <w:sz w:val="24"/>
                <w:szCs w:val="24"/>
                <w:highlight w:val="none"/>
                <w:vertAlign w:val="baseline"/>
                <w:lang w:val="en-US" w:eastAsia="zh-CN" w:bidi="ar-SA"/>
              </w:rPr>
              <w:t>℃</w:t>
            </w:r>
            <w:r>
              <w:rPr>
                <w:rFonts w:hint="eastAsia" w:ascii="仿宋_GB2312" w:hAnsi="宋体" w:eastAsia="仿宋_GB2312" w:cs="Times New Roman"/>
                <w:b w:val="0"/>
                <w:bCs w:val="0"/>
                <w:color w:val="auto"/>
                <w:kern w:val="2"/>
                <w:sz w:val="24"/>
                <w:szCs w:val="24"/>
                <w:highlight w:val="none"/>
                <w:vertAlign w:val="baseline"/>
                <w:lang w:val="en-US" w:eastAsia="zh-CN" w:bidi="ar-SA"/>
              </w:rPr>
              <w:t>和常温下包衣甘蔗单芽种茎保存20d</w:t>
            </w:r>
            <w:r>
              <w:rPr>
                <w:rFonts w:hint="eastAsia" w:ascii="仿宋_GB2312" w:hAnsi="宋体" w:cs="Times New Roman"/>
                <w:b w:val="0"/>
                <w:bCs w:val="0"/>
                <w:color w:val="auto"/>
                <w:kern w:val="2"/>
                <w:sz w:val="24"/>
                <w:szCs w:val="24"/>
                <w:highlight w:val="none"/>
                <w:vertAlign w:val="baseline"/>
                <w:lang w:val="en-US" w:eastAsia="zh-CN" w:bidi="ar-SA"/>
              </w:rPr>
              <w:t>；</w:t>
            </w:r>
            <w:r>
              <w:rPr>
                <w:rFonts w:hint="eastAsia" w:ascii="仿宋_GB2312" w:hAnsi="宋体" w:eastAsia="仿宋_GB2312" w:cs="Times New Roman"/>
                <w:b w:val="0"/>
                <w:bCs w:val="0"/>
                <w:color w:val="auto"/>
                <w:kern w:val="2"/>
                <w:sz w:val="24"/>
                <w:szCs w:val="24"/>
                <w:highlight w:val="none"/>
                <w:vertAlign w:val="baseline"/>
                <w:lang w:val="en-US" w:eastAsia="zh-CN" w:bidi="ar-SA"/>
              </w:rPr>
              <w:t>21、22</w:t>
            </w:r>
            <w:r>
              <w:rPr>
                <w:rFonts w:hint="eastAsia" w:ascii="仿宋_GB2312" w:hAnsi="宋体" w:cs="Times New Roman"/>
                <w:b w:val="0"/>
                <w:bCs w:val="0"/>
                <w:color w:val="auto"/>
                <w:kern w:val="2"/>
                <w:sz w:val="24"/>
                <w:szCs w:val="24"/>
                <w:highlight w:val="none"/>
                <w:vertAlign w:val="baseline"/>
                <w:lang w:val="en-US" w:eastAsia="zh-CN" w:bidi="ar-SA"/>
              </w:rPr>
              <w:t>、</w:t>
            </w:r>
            <w:r>
              <w:rPr>
                <w:rFonts w:hint="eastAsia" w:ascii="仿宋_GB2312" w:hAnsi="宋体" w:eastAsia="仿宋_GB2312" w:cs="Times New Roman"/>
                <w:b w:val="0"/>
                <w:bCs w:val="0"/>
                <w:color w:val="auto"/>
                <w:kern w:val="2"/>
                <w:sz w:val="24"/>
                <w:szCs w:val="24"/>
                <w:highlight w:val="none"/>
                <w:vertAlign w:val="baseline"/>
                <w:lang w:val="en-US" w:eastAsia="zh-CN" w:bidi="ar-SA"/>
              </w:rPr>
              <w:t>23、24分别为10</w:t>
            </w:r>
            <w:r>
              <w:rPr>
                <w:rFonts w:hint="eastAsia" w:ascii="仿宋_GB2312" w:hAnsi="宋体" w:cs="Times New Roman"/>
                <w:b w:val="0"/>
                <w:bCs w:val="0"/>
                <w:color w:val="auto"/>
                <w:kern w:val="2"/>
                <w:sz w:val="24"/>
                <w:szCs w:val="24"/>
                <w:highlight w:val="none"/>
                <w:vertAlign w:val="baseline"/>
                <w:lang w:val="en-US" w:eastAsia="zh-CN" w:bidi="ar-SA"/>
              </w:rPr>
              <w:t>℃</w:t>
            </w:r>
            <w:r>
              <w:rPr>
                <w:rFonts w:hint="eastAsia" w:ascii="仿宋_GB2312" w:hAnsi="宋体" w:eastAsia="仿宋_GB2312" w:cs="Times New Roman"/>
                <w:b w:val="0"/>
                <w:bCs w:val="0"/>
                <w:color w:val="auto"/>
                <w:kern w:val="2"/>
                <w:sz w:val="24"/>
                <w:szCs w:val="24"/>
                <w:highlight w:val="none"/>
                <w:vertAlign w:val="baseline"/>
                <w:lang w:val="en-US" w:eastAsia="zh-CN" w:bidi="ar-SA"/>
              </w:rPr>
              <w:t>、</w:t>
            </w:r>
            <w:r>
              <w:rPr>
                <w:rFonts w:hint="eastAsia" w:ascii="仿宋_GB2312" w:hAnsi="宋体" w:cs="Times New Roman"/>
                <w:b w:val="0"/>
                <w:bCs w:val="0"/>
                <w:color w:val="auto"/>
                <w:kern w:val="2"/>
                <w:sz w:val="24"/>
                <w:szCs w:val="24"/>
                <w:highlight w:val="none"/>
                <w:vertAlign w:val="baseline"/>
                <w:lang w:val="en-US" w:eastAsia="zh-CN" w:bidi="ar-SA"/>
              </w:rPr>
              <w:t>13℃</w:t>
            </w:r>
            <w:r>
              <w:rPr>
                <w:rFonts w:hint="eastAsia" w:ascii="仿宋_GB2312" w:hAnsi="宋体" w:eastAsia="仿宋_GB2312" w:cs="Times New Roman"/>
                <w:b w:val="0"/>
                <w:bCs w:val="0"/>
                <w:color w:val="auto"/>
                <w:kern w:val="2"/>
                <w:sz w:val="24"/>
                <w:szCs w:val="24"/>
                <w:highlight w:val="none"/>
                <w:vertAlign w:val="baseline"/>
                <w:lang w:val="en-US" w:eastAsia="zh-CN" w:bidi="ar-SA"/>
              </w:rPr>
              <w:t>、15</w:t>
            </w:r>
            <w:r>
              <w:rPr>
                <w:rFonts w:hint="eastAsia" w:ascii="仿宋_GB2312" w:hAnsi="宋体" w:cs="Times New Roman"/>
                <w:b w:val="0"/>
                <w:bCs w:val="0"/>
                <w:color w:val="auto"/>
                <w:kern w:val="2"/>
                <w:sz w:val="24"/>
                <w:szCs w:val="24"/>
                <w:highlight w:val="none"/>
                <w:vertAlign w:val="baseline"/>
                <w:lang w:val="en-US" w:eastAsia="zh-CN" w:bidi="ar-SA"/>
              </w:rPr>
              <w:t>℃</w:t>
            </w:r>
            <w:r>
              <w:rPr>
                <w:rFonts w:hint="eastAsia" w:ascii="仿宋_GB2312" w:hAnsi="宋体" w:eastAsia="仿宋_GB2312" w:cs="Times New Roman"/>
                <w:b w:val="0"/>
                <w:bCs w:val="0"/>
                <w:color w:val="auto"/>
                <w:kern w:val="2"/>
                <w:sz w:val="24"/>
                <w:szCs w:val="24"/>
                <w:highlight w:val="none"/>
                <w:vertAlign w:val="baseline"/>
                <w:lang w:val="en-US" w:eastAsia="zh-CN" w:bidi="ar-SA"/>
              </w:rPr>
              <w:t>和常温下包衣甘蔗单芽种茎保存30d</w:t>
            </w:r>
          </w:p>
        </w:tc>
      </w:tr>
      <w:tr w14:paraId="21520AB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left w:w="108" w:type="dxa"/>
            <w:right w:w="108" w:type="dxa"/>
          </w:tblCellMar>
        </w:tblPrEx>
        <w:tc>
          <w:tcPr>
            <w:tcW w:w="9174" w:type="dxa"/>
          </w:tcPr>
          <w:p w14:paraId="79B4AFDB">
            <w:pPr>
              <w:keepNext w:val="0"/>
              <w:keepLines w:val="0"/>
              <w:pageBreakBefore w:val="0"/>
              <w:numPr>
                <w:ilvl w:val="0"/>
                <w:numId w:val="0"/>
              </w:numPr>
              <w:kinsoku/>
              <w:overflowPunct/>
              <w:topLinePunct w:val="0"/>
              <w:bidi w:val="0"/>
              <w:snapToGrid/>
              <w:jc w:val="center"/>
              <w:textAlignment w:val="auto"/>
              <w:rPr>
                <w:rFonts w:hint="default" w:ascii="仿宋_GB2312" w:hAnsi="宋体" w:eastAsia="仿宋_GB2312" w:cs="Times New Roman"/>
                <w:b w:val="0"/>
                <w:bCs w:val="0"/>
                <w:color w:val="auto"/>
                <w:kern w:val="2"/>
                <w:sz w:val="24"/>
                <w:szCs w:val="24"/>
                <w:highlight w:val="none"/>
                <w:vertAlign w:val="baseline"/>
                <w:lang w:val="en-US" w:eastAsia="zh-CN" w:bidi="ar-SA"/>
              </w:rPr>
            </w:pPr>
            <w:r>
              <w:rPr>
                <w:rFonts w:hint="eastAsia" w:ascii="仿宋_GB2312" w:hAnsi="宋体" w:cs="Times New Roman"/>
                <w:b w:val="0"/>
                <w:bCs w:val="0"/>
                <w:color w:val="auto"/>
                <w:kern w:val="2"/>
                <w:sz w:val="28"/>
                <w:szCs w:val="28"/>
                <w:highlight w:val="none"/>
                <w:vertAlign w:val="baseline"/>
                <w:lang w:val="en-US" w:eastAsia="zh-CN" w:bidi="ar-SA"/>
              </w:rPr>
              <w:t>图1 包衣和未包衣种茎对比</w:t>
            </w:r>
          </w:p>
        </w:tc>
      </w:tr>
    </w:tbl>
    <w:p w14:paraId="1F8842EB">
      <w:pPr>
        <w:keepNext w:val="0"/>
        <w:keepLines w:val="0"/>
        <w:pageBreakBefore w:val="0"/>
        <w:numPr>
          <w:ilvl w:val="0"/>
          <w:numId w:val="0"/>
        </w:numPr>
        <w:kinsoku/>
        <w:overflowPunct/>
        <w:topLinePunct w:val="0"/>
        <w:bidi w:val="0"/>
        <w:snapToGrid/>
        <w:ind w:left="0" w:leftChars="0" w:firstLine="643" w:firstLineChars="200"/>
        <w:textAlignment w:val="auto"/>
        <w:rPr>
          <w:rFonts w:hint="eastAsia" w:ascii="仿宋_GB2312" w:hAnsi="宋体" w:eastAsia="仿宋_GB2312" w:cs="Times New Roman"/>
          <w:b/>
          <w:bCs/>
          <w:color w:val="auto"/>
          <w:kern w:val="2"/>
          <w:sz w:val="32"/>
          <w:szCs w:val="32"/>
          <w:highlight w:val="none"/>
          <w:lang w:val="en-US" w:eastAsia="zh-CN" w:bidi="ar-SA"/>
        </w:rPr>
      </w:pPr>
    </w:p>
    <w:p w14:paraId="4CE607C5">
      <w:pPr>
        <w:keepNext w:val="0"/>
        <w:keepLines w:val="0"/>
        <w:pageBreakBefore w:val="0"/>
        <w:numPr>
          <w:ilvl w:val="0"/>
          <w:numId w:val="0"/>
        </w:numPr>
        <w:kinsoku/>
        <w:overflowPunct/>
        <w:topLinePunct w:val="0"/>
        <w:bidi w:val="0"/>
        <w:snapToGrid/>
        <w:ind w:left="0" w:leftChars="0" w:firstLine="643" w:firstLineChars="200"/>
        <w:textAlignment w:val="auto"/>
        <w:rPr>
          <w:rFonts w:hint="eastAsia" w:ascii="仿宋_GB2312" w:hAnsi="宋体" w:eastAsia="仿宋_GB2312" w:cs="Times New Roman"/>
          <w:b/>
          <w:bCs/>
          <w:color w:val="auto"/>
          <w:kern w:val="2"/>
          <w:sz w:val="32"/>
          <w:szCs w:val="32"/>
          <w:highlight w:val="none"/>
          <w:lang w:val="en-US" w:eastAsia="zh-CN" w:bidi="ar-SA"/>
        </w:rPr>
      </w:pPr>
    </w:p>
    <w:p w14:paraId="79B25DE0">
      <w:pPr>
        <w:keepNext w:val="0"/>
        <w:keepLines w:val="0"/>
        <w:pageBreakBefore w:val="0"/>
        <w:numPr>
          <w:ilvl w:val="0"/>
          <w:numId w:val="0"/>
        </w:numPr>
        <w:kinsoku/>
        <w:overflowPunct/>
        <w:topLinePunct w:val="0"/>
        <w:bidi w:val="0"/>
        <w:snapToGrid/>
        <w:ind w:left="0" w:leftChars="0" w:firstLine="643" w:firstLineChars="200"/>
        <w:textAlignment w:val="auto"/>
        <w:rPr>
          <w:rFonts w:hint="eastAsia" w:ascii="仿宋_GB2312" w:hAnsi="宋体" w:eastAsia="仿宋_GB2312" w:cs="Times New Roman"/>
          <w:b/>
          <w:bCs/>
          <w:color w:val="auto"/>
          <w:kern w:val="2"/>
          <w:sz w:val="32"/>
          <w:szCs w:val="32"/>
          <w:highlight w:val="none"/>
          <w:lang w:val="en-US" w:eastAsia="zh-CN" w:bidi="ar-SA"/>
        </w:rPr>
      </w:pPr>
      <w:r>
        <w:rPr>
          <w:rFonts w:hint="eastAsia" w:ascii="仿宋_GB2312" w:hAnsi="宋体" w:eastAsia="仿宋_GB2312" w:cs="Times New Roman"/>
          <w:b/>
          <w:bCs/>
          <w:color w:val="auto"/>
          <w:kern w:val="2"/>
          <w:sz w:val="32"/>
          <w:szCs w:val="32"/>
          <w:highlight w:val="none"/>
          <w:lang w:val="en-US" w:eastAsia="zh-CN" w:bidi="ar-SA"/>
        </w:rPr>
        <w:t>（</w:t>
      </w:r>
      <w:r>
        <w:rPr>
          <w:rFonts w:hint="eastAsia" w:ascii="仿宋_GB2312" w:hAnsi="宋体" w:cs="Times New Roman"/>
          <w:b/>
          <w:bCs/>
          <w:color w:val="auto"/>
          <w:kern w:val="2"/>
          <w:sz w:val="32"/>
          <w:szCs w:val="32"/>
          <w:highlight w:val="none"/>
          <w:lang w:val="en-US" w:eastAsia="zh-CN" w:bidi="ar-SA"/>
        </w:rPr>
        <w:t>三</w:t>
      </w:r>
      <w:r>
        <w:rPr>
          <w:rFonts w:hint="eastAsia" w:ascii="仿宋_GB2312" w:hAnsi="宋体" w:eastAsia="仿宋_GB2312" w:cs="Times New Roman"/>
          <w:b/>
          <w:bCs/>
          <w:color w:val="auto"/>
          <w:kern w:val="2"/>
          <w:sz w:val="32"/>
          <w:szCs w:val="32"/>
          <w:highlight w:val="none"/>
          <w:lang w:val="en-US" w:eastAsia="zh-CN" w:bidi="ar-SA"/>
        </w:rPr>
        <w:t>）单芽种苗培育</w:t>
      </w:r>
    </w:p>
    <w:p w14:paraId="395D648F">
      <w:pPr>
        <w:keepNext w:val="0"/>
        <w:keepLines w:val="0"/>
        <w:pageBreakBefore w:val="0"/>
        <w:numPr>
          <w:ilvl w:val="0"/>
          <w:numId w:val="0"/>
        </w:numPr>
        <w:kinsoku/>
        <w:overflowPunct/>
        <w:topLinePunct w:val="0"/>
        <w:bidi w:val="0"/>
        <w:snapToGrid/>
        <w:ind w:left="0" w:leftChars="0" w:firstLine="640" w:firstLineChars="200"/>
        <w:textAlignment w:val="auto"/>
        <w:rPr>
          <w:rFonts w:hint="eastAsia" w:ascii="仿宋_GB2312" w:hAnsi="宋体" w:cs="Times New Roman"/>
          <w:b w:val="0"/>
          <w:bCs w:val="0"/>
          <w:color w:val="auto"/>
          <w:kern w:val="2"/>
          <w:sz w:val="32"/>
          <w:szCs w:val="32"/>
          <w:highlight w:val="none"/>
          <w:lang w:val="en-US" w:eastAsia="zh-CN" w:bidi="ar-SA"/>
        </w:rPr>
      </w:pPr>
      <w:r>
        <w:rPr>
          <w:rFonts w:hint="eastAsia" w:ascii="仿宋_GB2312" w:hAnsi="宋体" w:cs="Times New Roman"/>
          <w:b w:val="0"/>
          <w:bCs w:val="0"/>
          <w:color w:val="auto"/>
          <w:kern w:val="2"/>
          <w:sz w:val="32"/>
          <w:szCs w:val="32"/>
          <w:highlight w:val="none"/>
          <w:lang w:val="en-US" w:eastAsia="zh-CN" w:bidi="ar-SA"/>
        </w:rPr>
        <w:t>3.1播种</w:t>
      </w:r>
    </w:p>
    <w:p w14:paraId="6E3F7944">
      <w:pPr>
        <w:keepNext w:val="0"/>
        <w:keepLines w:val="0"/>
        <w:pageBreakBefore w:val="0"/>
        <w:numPr>
          <w:ilvl w:val="0"/>
          <w:numId w:val="0"/>
        </w:numPr>
        <w:kinsoku/>
        <w:overflowPunct/>
        <w:topLinePunct w:val="0"/>
        <w:bidi w:val="0"/>
        <w:snapToGrid/>
        <w:ind w:left="0" w:leftChars="0" w:firstLine="640" w:firstLineChars="200"/>
        <w:textAlignment w:val="auto"/>
        <w:rPr>
          <w:rFonts w:hint="eastAsia" w:ascii="仿宋_GB2312" w:hAnsi="宋体" w:cs="Times New Roman"/>
          <w:b w:val="0"/>
          <w:bCs w:val="0"/>
          <w:color w:val="auto"/>
          <w:kern w:val="2"/>
          <w:sz w:val="32"/>
          <w:szCs w:val="32"/>
          <w:highlight w:val="none"/>
          <w:lang w:val="en-US" w:eastAsia="zh-CN" w:bidi="ar-SA"/>
        </w:rPr>
      </w:pPr>
      <w:r>
        <w:rPr>
          <w:rFonts w:hint="default" w:ascii="仿宋_GB2312" w:hAnsi="宋体" w:cs="Times New Roman"/>
          <w:b w:val="0"/>
          <w:bCs w:val="0"/>
          <w:color w:val="auto"/>
          <w:kern w:val="2"/>
          <w:sz w:val="32"/>
          <w:szCs w:val="32"/>
          <w:highlight w:val="none"/>
          <w:lang w:val="en-US" w:eastAsia="zh-CN" w:bidi="ar-SA"/>
        </w:rPr>
        <w:t>采用穴盘育苗</w:t>
      </w:r>
      <w:r>
        <w:rPr>
          <w:rFonts w:hint="eastAsia" w:ascii="仿宋_GB2312" w:hAnsi="宋体" w:cs="Times New Roman"/>
          <w:b w:val="0"/>
          <w:bCs w:val="0"/>
          <w:color w:val="auto"/>
          <w:kern w:val="2"/>
          <w:sz w:val="32"/>
          <w:szCs w:val="32"/>
          <w:highlight w:val="none"/>
          <w:lang w:val="en-US" w:eastAsia="zh-CN" w:bidi="ar-SA"/>
        </w:rPr>
        <w:t>方</w:t>
      </w:r>
      <w:r>
        <w:rPr>
          <w:rFonts w:hint="default" w:ascii="仿宋_GB2312" w:hAnsi="宋体" w:cs="Times New Roman"/>
          <w:b w:val="0"/>
          <w:bCs w:val="0"/>
          <w:color w:val="auto"/>
          <w:kern w:val="2"/>
          <w:sz w:val="32"/>
          <w:szCs w:val="32"/>
          <w:highlight w:val="none"/>
          <w:lang w:val="en-US" w:eastAsia="zh-CN" w:bidi="ar-SA"/>
        </w:rPr>
        <w:t>便后续移栽</w:t>
      </w:r>
      <w:r>
        <w:rPr>
          <w:rFonts w:hint="eastAsia" w:ascii="仿宋_GB2312" w:hAnsi="宋体" w:cs="Times New Roman"/>
          <w:b w:val="0"/>
          <w:bCs w:val="0"/>
          <w:color w:val="auto"/>
          <w:kern w:val="2"/>
          <w:sz w:val="32"/>
          <w:szCs w:val="32"/>
          <w:highlight w:val="none"/>
          <w:lang w:val="en-US" w:eastAsia="zh-CN" w:bidi="ar-SA"/>
        </w:rPr>
        <w:t>，播种前先装一半营养土土，预留根系向下伸展的空间，芽眼朝上可使萌发的芽鞘和幼苗自然向上生长，避免弯曲消耗养分，便于机械化播种。压紧营养土使单芽段与营养土紧密接触，消除空隙，防止悬空失水；淋足水以激活芽体代谢，同时使基质沉降稳定。</w:t>
      </w:r>
    </w:p>
    <w:tbl>
      <w:tblPr>
        <w:tblStyle w:val="7"/>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left w:w="108" w:type="dxa"/>
          <w:right w:w="108" w:type="dxa"/>
        </w:tblCellMar>
      </w:tblPr>
      <w:tblGrid>
        <w:gridCol w:w="9174"/>
      </w:tblGrid>
      <w:tr w14:paraId="28C9C7C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left w:w="108" w:type="dxa"/>
            <w:right w:w="108" w:type="dxa"/>
          </w:tblCellMar>
        </w:tblPrEx>
        <w:tc>
          <w:tcPr>
            <w:tcW w:w="9174" w:type="dxa"/>
          </w:tcPr>
          <w:p w14:paraId="52C091D5">
            <w:pPr>
              <w:keepNext w:val="0"/>
              <w:keepLines w:val="0"/>
              <w:pageBreakBefore w:val="0"/>
              <w:numPr>
                <w:ilvl w:val="0"/>
                <w:numId w:val="0"/>
              </w:numPr>
              <w:kinsoku/>
              <w:overflowPunct/>
              <w:topLinePunct w:val="0"/>
              <w:bidi w:val="0"/>
              <w:snapToGrid/>
              <w:textAlignment w:val="auto"/>
              <w:rPr>
                <w:rFonts w:hint="eastAsia" w:ascii="仿宋_GB2312" w:hAnsi="宋体" w:cs="Times New Roman"/>
                <w:b w:val="0"/>
                <w:bCs w:val="0"/>
                <w:color w:val="auto"/>
                <w:kern w:val="2"/>
                <w:sz w:val="32"/>
                <w:szCs w:val="32"/>
                <w:highlight w:val="none"/>
                <w:vertAlign w:val="baseline"/>
                <w:lang w:val="en-US" w:eastAsia="zh-CN" w:bidi="ar-SA"/>
              </w:rPr>
            </w:pPr>
            <w:r>
              <w:drawing>
                <wp:inline distT="0" distB="0" distL="114300" distR="114300">
                  <wp:extent cx="5686425" cy="3426460"/>
                  <wp:effectExtent l="0" t="0" r="9525" b="254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0"/>
                          <a:stretch>
                            <a:fillRect/>
                          </a:stretch>
                        </pic:blipFill>
                        <pic:spPr>
                          <a:xfrm>
                            <a:off x="0" y="0"/>
                            <a:ext cx="5686425" cy="3426460"/>
                          </a:xfrm>
                          <a:prstGeom prst="rect">
                            <a:avLst/>
                          </a:prstGeom>
                          <a:noFill/>
                          <a:ln>
                            <a:noFill/>
                          </a:ln>
                        </pic:spPr>
                      </pic:pic>
                    </a:graphicData>
                  </a:graphic>
                </wp:inline>
              </w:drawing>
            </w:r>
          </w:p>
        </w:tc>
      </w:tr>
      <w:tr w14:paraId="7E61F79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left w:w="108" w:type="dxa"/>
            <w:right w:w="108" w:type="dxa"/>
          </w:tblCellMar>
        </w:tblPrEx>
        <w:tc>
          <w:tcPr>
            <w:tcW w:w="9174" w:type="dxa"/>
          </w:tcPr>
          <w:p w14:paraId="4CE9EEB8">
            <w:pPr>
              <w:keepNext w:val="0"/>
              <w:keepLines w:val="0"/>
              <w:pageBreakBefore w:val="0"/>
              <w:numPr>
                <w:ilvl w:val="0"/>
                <w:numId w:val="0"/>
              </w:numPr>
              <w:kinsoku/>
              <w:overflowPunct/>
              <w:topLinePunct w:val="0"/>
              <w:bidi w:val="0"/>
              <w:snapToGrid/>
              <w:jc w:val="center"/>
              <w:textAlignment w:val="auto"/>
              <w:rPr>
                <w:rFonts w:hint="default" w:ascii="仿宋_GB2312" w:hAnsi="宋体" w:cs="Times New Roman"/>
                <w:b w:val="0"/>
                <w:bCs w:val="0"/>
                <w:color w:val="auto"/>
                <w:kern w:val="2"/>
                <w:sz w:val="32"/>
                <w:szCs w:val="32"/>
                <w:highlight w:val="none"/>
                <w:vertAlign w:val="baseline"/>
                <w:lang w:val="en-US" w:eastAsia="zh-CN" w:bidi="ar-SA"/>
              </w:rPr>
            </w:pPr>
            <w:r>
              <w:rPr>
                <w:rFonts w:hint="eastAsia" w:ascii="仿宋_GB2312" w:hAnsi="宋体" w:cs="Times New Roman"/>
                <w:b w:val="0"/>
                <w:bCs w:val="0"/>
                <w:color w:val="auto"/>
                <w:kern w:val="2"/>
                <w:sz w:val="28"/>
                <w:szCs w:val="28"/>
                <w:highlight w:val="none"/>
                <w:vertAlign w:val="baseline"/>
                <w:lang w:val="en-US" w:eastAsia="zh-CN" w:bidi="ar-SA"/>
              </w:rPr>
              <w:t>图2 单芽种茎育苗</w:t>
            </w:r>
          </w:p>
        </w:tc>
      </w:tr>
    </w:tbl>
    <w:p w14:paraId="074AB7F9">
      <w:pPr>
        <w:keepNext w:val="0"/>
        <w:keepLines w:val="0"/>
        <w:pageBreakBefore w:val="0"/>
        <w:numPr>
          <w:ilvl w:val="0"/>
          <w:numId w:val="0"/>
        </w:numPr>
        <w:kinsoku/>
        <w:overflowPunct/>
        <w:topLinePunct w:val="0"/>
        <w:bidi w:val="0"/>
        <w:snapToGrid/>
        <w:ind w:left="0" w:leftChars="0" w:firstLine="640" w:firstLineChars="200"/>
        <w:textAlignment w:val="auto"/>
        <w:rPr>
          <w:rFonts w:hint="default" w:ascii="仿宋_GB2312" w:hAnsi="宋体" w:eastAsia="仿宋_GB2312" w:cs="Times New Roman"/>
          <w:b w:val="0"/>
          <w:bCs w:val="0"/>
          <w:color w:val="auto"/>
          <w:kern w:val="2"/>
          <w:sz w:val="32"/>
          <w:szCs w:val="32"/>
          <w:highlight w:val="none"/>
          <w:lang w:val="en-US" w:eastAsia="zh-CN" w:bidi="ar-SA"/>
        </w:rPr>
      </w:pPr>
      <w:r>
        <w:rPr>
          <w:rFonts w:hint="eastAsia" w:ascii="仿宋_GB2312" w:hAnsi="宋体" w:cs="Times New Roman"/>
          <w:b w:val="0"/>
          <w:bCs w:val="0"/>
          <w:color w:val="auto"/>
          <w:kern w:val="2"/>
          <w:sz w:val="32"/>
          <w:szCs w:val="32"/>
          <w:highlight w:val="none"/>
          <w:lang w:val="en-US" w:eastAsia="zh-CN" w:bidi="ar-SA"/>
        </w:rPr>
        <w:t>3.2育苗管理</w:t>
      </w:r>
    </w:p>
    <w:p w14:paraId="3CFACD52">
      <w:pPr>
        <w:keepNext w:val="0"/>
        <w:keepLines w:val="0"/>
        <w:pageBreakBefore w:val="0"/>
        <w:numPr>
          <w:ilvl w:val="0"/>
          <w:numId w:val="0"/>
        </w:numPr>
        <w:kinsoku/>
        <w:overflowPunct/>
        <w:topLinePunct w:val="0"/>
        <w:bidi w:val="0"/>
        <w:snapToGrid/>
        <w:ind w:left="0" w:leftChars="0" w:firstLine="640" w:firstLineChars="200"/>
        <w:textAlignment w:val="auto"/>
        <w:rPr>
          <w:rFonts w:hint="eastAsia" w:ascii="仿宋_GB2312" w:hAnsi="宋体" w:cs="Times New Roman"/>
          <w:b w:val="0"/>
          <w:bCs w:val="0"/>
          <w:color w:val="auto"/>
          <w:kern w:val="2"/>
          <w:sz w:val="32"/>
          <w:szCs w:val="32"/>
          <w:highlight w:val="none"/>
          <w:lang w:val="en-US" w:eastAsia="zh-CN" w:bidi="ar-SA"/>
        </w:rPr>
      </w:pPr>
      <w:r>
        <w:rPr>
          <w:rFonts w:hint="eastAsia" w:ascii="仿宋_GB2312" w:hAnsi="宋体" w:cs="Times New Roman"/>
          <w:b w:val="0"/>
          <w:bCs w:val="0"/>
          <w:color w:val="auto"/>
          <w:kern w:val="2"/>
          <w:sz w:val="32"/>
          <w:szCs w:val="32"/>
          <w:highlight w:val="none"/>
          <w:lang w:val="en-US" w:eastAsia="zh-CN" w:bidi="ar-SA"/>
        </w:rPr>
        <w:t>3.2.1温度和水分</w:t>
      </w:r>
    </w:p>
    <w:p w14:paraId="7A257C6E">
      <w:pPr>
        <w:keepNext w:val="0"/>
        <w:keepLines w:val="0"/>
        <w:pageBreakBefore w:val="0"/>
        <w:numPr>
          <w:ilvl w:val="0"/>
          <w:numId w:val="0"/>
        </w:numPr>
        <w:kinsoku/>
        <w:overflowPunct/>
        <w:topLinePunct w:val="0"/>
        <w:bidi w:val="0"/>
        <w:snapToGrid/>
        <w:ind w:left="0" w:leftChars="0" w:firstLine="640" w:firstLineChars="200"/>
        <w:textAlignment w:val="auto"/>
        <w:rPr>
          <w:rFonts w:hint="default" w:ascii="仿宋_GB2312" w:hAnsi="宋体" w:cs="Times New Roman"/>
          <w:b w:val="0"/>
          <w:bCs w:val="0"/>
          <w:color w:val="auto"/>
          <w:kern w:val="2"/>
          <w:sz w:val="32"/>
          <w:szCs w:val="32"/>
          <w:highlight w:val="none"/>
          <w:lang w:val="en-US" w:eastAsia="zh-CN" w:bidi="ar-SA"/>
        </w:rPr>
      </w:pPr>
      <w:r>
        <w:rPr>
          <w:rFonts w:hint="default" w:ascii="仿宋_GB2312" w:hAnsi="宋体" w:cs="Times New Roman"/>
          <w:b w:val="0"/>
          <w:bCs w:val="0"/>
          <w:color w:val="auto"/>
          <w:kern w:val="2"/>
          <w:sz w:val="32"/>
          <w:szCs w:val="32"/>
          <w:highlight w:val="none"/>
          <w:lang w:val="en-US" w:eastAsia="zh-CN" w:bidi="ar-SA"/>
        </w:rPr>
        <w:t>甘蔗为喜温、喜光作物，</w:t>
      </w:r>
      <w:r>
        <w:rPr>
          <w:rFonts w:hint="eastAsia" w:ascii="仿宋_GB2312" w:hAnsi="宋体" w:cs="Times New Roman"/>
          <w:b w:val="0"/>
          <w:bCs w:val="0"/>
          <w:color w:val="auto"/>
          <w:kern w:val="2"/>
          <w:sz w:val="32"/>
          <w:szCs w:val="32"/>
          <w:highlight w:val="none"/>
          <w:lang w:val="en-US" w:eastAsia="zh-CN" w:bidi="ar-SA"/>
        </w:rPr>
        <w:t>温度过低</w:t>
      </w:r>
      <w:r>
        <w:rPr>
          <w:rFonts w:hint="default" w:ascii="仿宋_GB2312" w:hAnsi="宋体" w:cs="Times New Roman"/>
          <w:b w:val="0"/>
          <w:bCs w:val="0"/>
          <w:color w:val="auto"/>
          <w:kern w:val="2"/>
          <w:sz w:val="32"/>
          <w:szCs w:val="32"/>
          <w:highlight w:val="none"/>
          <w:lang w:val="en-US" w:eastAsia="zh-CN" w:bidi="ar-SA"/>
        </w:rPr>
        <w:t>萌芽缓慢</w:t>
      </w:r>
      <w:r>
        <w:rPr>
          <w:rFonts w:hint="eastAsia" w:ascii="仿宋_GB2312" w:hAnsi="宋体" w:cs="Times New Roman"/>
          <w:b w:val="0"/>
          <w:bCs w:val="0"/>
          <w:color w:val="auto"/>
          <w:kern w:val="2"/>
          <w:sz w:val="32"/>
          <w:szCs w:val="32"/>
          <w:highlight w:val="none"/>
          <w:lang w:val="en-US" w:eastAsia="zh-CN" w:bidi="ar-SA"/>
        </w:rPr>
        <w:t>，过高</w:t>
      </w:r>
      <w:r>
        <w:rPr>
          <w:rFonts w:hint="default" w:ascii="仿宋_GB2312" w:hAnsi="宋体" w:cs="Times New Roman"/>
          <w:b w:val="0"/>
          <w:bCs w:val="0"/>
          <w:color w:val="auto"/>
          <w:kern w:val="2"/>
          <w:sz w:val="32"/>
          <w:szCs w:val="32"/>
          <w:highlight w:val="none"/>
          <w:lang w:val="en-US" w:eastAsia="zh-CN" w:bidi="ar-SA"/>
        </w:rPr>
        <w:t>易造成芽尖灼伤或徒长</w:t>
      </w:r>
      <w:r>
        <w:rPr>
          <w:rFonts w:hint="eastAsia" w:ascii="仿宋_GB2312" w:hAnsi="宋体" w:cs="Times New Roman"/>
          <w:b w:val="0"/>
          <w:bCs w:val="0"/>
          <w:color w:val="auto"/>
          <w:kern w:val="2"/>
          <w:sz w:val="32"/>
          <w:szCs w:val="32"/>
          <w:highlight w:val="none"/>
          <w:lang w:val="en-US" w:eastAsia="zh-CN" w:bidi="ar-SA"/>
        </w:rPr>
        <w:t>，甘蔗萌芽期30℃左右时发芽较快，伸长期较适伸长温度也在30℃左右，因此温度保持</w:t>
      </w:r>
      <w:r>
        <w:rPr>
          <w:rFonts w:hint="default" w:ascii="仿宋_GB2312" w:hAnsi="宋体" w:cs="Times New Roman"/>
          <w:b w:val="0"/>
          <w:bCs w:val="0"/>
          <w:color w:val="auto"/>
          <w:kern w:val="2"/>
          <w:sz w:val="32"/>
          <w:szCs w:val="32"/>
          <w:highlight w:val="none"/>
          <w:lang w:val="en-US" w:eastAsia="zh-CN" w:bidi="ar-SA"/>
        </w:rPr>
        <w:t>25℃</w:t>
      </w:r>
      <w:r>
        <w:rPr>
          <w:rFonts w:hint="eastAsia" w:ascii="仿宋_GB2312" w:hAnsi="宋体" w:cs="Times New Roman"/>
          <w:b w:val="0"/>
          <w:bCs w:val="0"/>
          <w:color w:val="auto"/>
          <w:kern w:val="2"/>
          <w:sz w:val="32"/>
          <w:szCs w:val="32"/>
          <w:highlight w:val="none"/>
          <w:lang w:val="en-US" w:eastAsia="zh-CN" w:bidi="ar-SA"/>
        </w:rPr>
        <w:t>-</w:t>
      </w:r>
      <w:r>
        <w:rPr>
          <w:rFonts w:hint="default" w:ascii="仿宋_GB2312" w:hAnsi="宋体" w:cs="Times New Roman"/>
          <w:b w:val="0"/>
          <w:bCs w:val="0"/>
          <w:color w:val="auto"/>
          <w:kern w:val="2"/>
          <w:sz w:val="32"/>
          <w:szCs w:val="32"/>
          <w:highlight w:val="none"/>
          <w:lang w:val="en-US" w:eastAsia="zh-CN" w:bidi="ar-SA"/>
        </w:rPr>
        <w:t>30℃可</w:t>
      </w:r>
      <w:r>
        <w:rPr>
          <w:rFonts w:hint="eastAsia" w:ascii="仿宋_GB2312" w:hAnsi="宋体" w:cs="Times New Roman"/>
          <w:b w:val="0"/>
          <w:bCs w:val="0"/>
          <w:color w:val="auto"/>
          <w:kern w:val="2"/>
          <w:sz w:val="32"/>
          <w:szCs w:val="32"/>
          <w:highlight w:val="none"/>
          <w:lang w:val="en-US" w:eastAsia="zh-CN" w:bidi="ar-SA"/>
        </w:rPr>
        <w:t>有利于</w:t>
      </w:r>
      <w:r>
        <w:rPr>
          <w:rFonts w:hint="default" w:ascii="仿宋_GB2312" w:hAnsi="宋体" w:cs="Times New Roman"/>
          <w:b w:val="0"/>
          <w:bCs w:val="0"/>
          <w:color w:val="auto"/>
          <w:kern w:val="2"/>
          <w:sz w:val="32"/>
          <w:szCs w:val="32"/>
          <w:highlight w:val="none"/>
          <w:lang w:val="en-US" w:eastAsia="zh-CN" w:bidi="ar-SA"/>
        </w:rPr>
        <w:t>出苗</w:t>
      </w:r>
      <w:r>
        <w:rPr>
          <w:rFonts w:hint="eastAsia" w:ascii="仿宋_GB2312" w:hAnsi="宋体" w:cs="Times New Roman"/>
          <w:b w:val="0"/>
          <w:bCs w:val="0"/>
          <w:color w:val="auto"/>
          <w:kern w:val="2"/>
          <w:sz w:val="32"/>
          <w:szCs w:val="32"/>
          <w:highlight w:val="none"/>
          <w:lang w:val="en-US" w:eastAsia="zh-CN" w:bidi="ar-SA"/>
        </w:rPr>
        <w:t>。</w:t>
      </w:r>
      <w:r>
        <w:rPr>
          <w:rFonts w:hint="default" w:ascii="仿宋_GB2312" w:hAnsi="宋体" w:cs="Times New Roman"/>
          <w:b w:val="0"/>
          <w:bCs w:val="0"/>
          <w:color w:val="auto"/>
          <w:kern w:val="2"/>
          <w:sz w:val="32"/>
          <w:szCs w:val="32"/>
          <w:highlight w:val="none"/>
          <w:lang w:val="en-US" w:eastAsia="zh-CN" w:bidi="ar-SA"/>
        </w:rPr>
        <w:t>单芽段无根，初期主要靠茎节吸收水分</w:t>
      </w:r>
      <w:r>
        <w:rPr>
          <w:rFonts w:hint="eastAsia" w:ascii="仿宋_GB2312" w:hAnsi="宋体" w:cs="Times New Roman"/>
          <w:b w:val="0"/>
          <w:bCs w:val="0"/>
          <w:color w:val="auto"/>
          <w:kern w:val="2"/>
          <w:sz w:val="32"/>
          <w:szCs w:val="32"/>
          <w:highlight w:val="none"/>
          <w:lang w:val="en-US" w:eastAsia="zh-CN" w:bidi="ar-SA"/>
        </w:rPr>
        <w:t>，</w:t>
      </w:r>
      <w:r>
        <w:rPr>
          <w:rFonts w:hint="default" w:ascii="仿宋_GB2312" w:hAnsi="宋体" w:cs="Times New Roman"/>
          <w:b w:val="0"/>
          <w:bCs w:val="0"/>
          <w:color w:val="auto"/>
          <w:kern w:val="2"/>
          <w:sz w:val="32"/>
          <w:szCs w:val="32"/>
          <w:highlight w:val="none"/>
          <w:lang w:val="en-US" w:eastAsia="zh-CN" w:bidi="ar-SA"/>
        </w:rPr>
        <w:t>营养土保水性有限，</w:t>
      </w:r>
      <w:r>
        <w:rPr>
          <w:rFonts w:hint="eastAsia"/>
        </w:rPr>
        <w:t>间隔1</w:t>
      </w:r>
      <w:r>
        <w:rPr>
          <w:rFonts w:hint="eastAsia"/>
          <w:vertAlign w:val="superscript"/>
        </w:rPr>
        <w:t xml:space="preserve"> </w:t>
      </w:r>
      <w:r>
        <w:rPr>
          <w:rFonts w:hint="eastAsia"/>
        </w:rPr>
        <w:t>d～2</w:t>
      </w:r>
      <w:r>
        <w:rPr>
          <w:rFonts w:hint="eastAsia"/>
          <w:vertAlign w:val="superscript"/>
        </w:rPr>
        <w:t xml:space="preserve"> </w:t>
      </w:r>
      <w:r>
        <w:rPr>
          <w:rFonts w:hint="eastAsia"/>
        </w:rPr>
        <w:t>d淋水</w:t>
      </w:r>
      <w:r>
        <w:rPr>
          <w:rFonts w:hint="default" w:ascii="仿宋_GB2312" w:hAnsi="宋体" w:cs="Times New Roman"/>
          <w:b w:val="0"/>
          <w:bCs w:val="0"/>
          <w:color w:val="auto"/>
          <w:kern w:val="2"/>
          <w:sz w:val="32"/>
          <w:szCs w:val="32"/>
          <w:highlight w:val="none"/>
          <w:lang w:val="en-US" w:eastAsia="zh-CN" w:bidi="ar-SA"/>
        </w:rPr>
        <w:t>少量补水保持</w:t>
      </w:r>
      <w:r>
        <w:rPr>
          <w:rFonts w:hint="eastAsia" w:ascii="仿宋_GB2312" w:hAnsi="宋体" w:cs="Times New Roman"/>
          <w:b w:val="0"/>
          <w:bCs w:val="0"/>
          <w:color w:val="auto"/>
          <w:kern w:val="2"/>
          <w:sz w:val="32"/>
          <w:szCs w:val="32"/>
          <w:highlight w:val="none"/>
          <w:lang w:val="en-US" w:eastAsia="zh-CN" w:bidi="ar-SA"/>
        </w:rPr>
        <w:t>湿润</w:t>
      </w:r>
      <w:r>
        <w:rPr>
          <w:rFonts w:hint="default" w:ascii="仿宋_GB2312" w:hAnsi="宋体" w:cs="Times New Roman"/>
          <w:b w:val="0"/>
          <w:bCs w:val="0"/>
          <w:color w:val="auto"/>
          <w:kern w:val="2"/>
          <w:sz w:val="32"/>
          <w:szCs w:val="32"/>
          <w:highlight w:val="none"/>
          <w:lang w:val="en-US" w:eastAsia="zh-CN" w:bidi="ar-SA"/>
        </w:rPr>
        <w:t>。</w:t>
      </w:r>
    </w:p>
    <w:p w14:paraId="318CA30F">
      <w:pPr>
        <w:keepNext w:val="0"/>
        <w:keepLines w:val="0"/>
        <w:pageBreakBefore w:val="0"/>
        <w:numPr>
          <w:ilvl w:val="0"/>
          <w:numId w:val="0"/>
        </w:numPr>
        <w:kinsoku/>
        <w:overflowPunct/>
        <w:topLinePunct w:val="0"/>
        <w:bidi w:val="0"/>
        <w:snapToGrid/>
        <w:ind w:left="0" w:leftChars="0" w:firstLine="640" w:firstLineChars="200"/>
        <w:textAlignment w:val="auto"/>
        <w:rPr>
          <w:rFonts w:hint="eastAsia" w:ascii="仿宋_GB2312" w:hAnsi="宋体" w:cs="Times New Roman"/>
          <w:b w:val="0"/>
          <w:bCs w:val="0"/>
          <w:color w:val="auto"/>
          <w:kern w:val="2"/>
          <w:sz w:val="32"/>
          <w:szCs w:val="32"/>
          <w:highlight w:val="none"/>
          <w:lang w:val="en-US" w:eastAsia="zh-CN" w:bidi="ar-SA"/>
        </w:rPr>
      </w:pPr>
      <w:r>
        <w:rPr>
          <w:rFonts w:hint="eastAsia" w:ascii="仿宋_GB2312" w:hAnsi="宋体" w:cs="Times New Roman"/>
          <w:b w:val="0"/>
          <w:bCs w:val="0"/>
          <w:color w:val="auto"/>
          <w:kern w:val="2"/>
          <w:sz w:val="32"/>
          <w:szCs w:val="32"/>
          <w:highlight w:val="none"/>
          <w:lang w:val="en-US" w:eastAsia="zh-CN" w:bidi="ar-SA"/>
        </w:rPr>
        <w:t>3.2.2施肥</w:t>
      </w:r>
    </w:p>
    <w:p w14:paraId="68D73AD7">
      <w:pPr>
        <w:keepNext w:val="0"/>
        <w:keepLines w:val="0"/>
        <w:pageBreakBefore w:val="0"/>
        <w:numPr>
          <w:ilvl w:val="0"/>
          <w:numId w:val="0"/>
        </w:numPr>
        <w:kinsoku/>
        <w:overflowPunct/>
        <w:topLinePunct w:val="0"/>
        <w:bidi w:val="0"/>
        <w:snapToGrid/>
        <w:ind w:left="0" w:leftChars="0" w:firstLine="640" w:firstLineChars="200"/>
        <w:textAlignment w:val="auto"/>
        <w:rPr>
          <w:rFonts w:hint="eastAsia" w:ascii="仿宋_GB2312" w:hAnsi="宋体" w:cs="Times New Roman"/>
          <w:b w:val="0"/>
          <w:bCs w:val="0"/>
          <w:color w:val="auto"/>
          <w:kern w:val="2"/>
          <w:sz w:val="32"/>
          <w:szCs w:val="32"/>
          <w:highlight w:val="none"/>
          <w:lang w:val="en-US" w:eastAsia="zh-CN" w:bidi="ar-SA"/>
        </w:rPr>
      </w:pPr>
      <w:r>
        <w:rPr>
          <w:rFonts w:hint="eastAsia" w:ascii="仿宋_GB2312" w:hAnsi="宋体" w:cs="Times New Roman"/>
          <w:b w:val="0"/>
          <w:bCs w:val="0"/>
          <w:color w:val="auto"/>
          <w:kern w:val="2"/>
          <w:sz w:val="32"/>
          <w:szCs w:val="32"/>
          <w:highlight w:val="none"/>
          <w:lang w:val="en-US" w:eastAsia="zh-CN" w:bidi="ar-SA"/>
        </w:rPr>
        <w:t>穴盘基质保肥能力弱，表面喷施速效肥料可直接被幼嫩根系和叶片吸收，促进快速生长。过早施肥易烧苗，播种1周后此时蔗芽已萌发、初生根开始吸收养分。幼苗期需氮促叶，需磷促根，需钾壮秆，因此采用平衡型复合肥（N:P:K=20:20:20）。出圃前1周停肥，提高抗逆性，适应大田环境。</w:t>
      </w:r>
    </w:p>
    <w:p w14:paraId="0A79DF6F">
      <w:pPr>
        <w:keepNext w:val="0"/>
        <w:keepLines w:val="0"/>
        <w:pageBreakBefore w:val="0"/>
        <w:numPr>
          <w:ilvl w:val="0"/>
          <w:numId w:val="0"/>
        </w:numPr>
        <w:kinsoku/>
        <w:overflowPunct/>
        <w:topLinePunct w:val="0"/>
        <w:bidi w:val="0"/>
        <w:snapToGrid/>
        <w:ind w:left="0" w:leftChars="0" w:firstLine="640" w:firstLineChars="200"/>
        <w:textAlignment w:val="auto"/>
        <w:rPr>
          <w:rFonts w:hint="eastAsia" w:ascii="仿宋_GB2312" w:hAnsi="宋体" w:cs="Times New Roman"/>
          <w:b w:val="0"/>
          <w:bCs w:val="0"/>
          <w:color w:val="auto"/>
          <w:kern w:val="2"/>
          <w:sz w:val="32"/>
          <w:szCs w:val="32"/>
          <w:highlight w:val="none"/>
          <w:lang w:val="en-US" w:eastAsia="zh-CN" w:bidi="ar-SA"/>
        </w:rPr>
      </w:pPr>
      <w:r>
        <w:rPr>
          <w:rFonts w:hint="eastAsia" w:ascii="仿宋_GB2312" w:hAnsi="宋体" w:cs="Times New Roman"/>
          <w:b w:val="0"/>
          <w:bCs w:val="0"/>
          <w:color w:val="auto"/>
          <w:kern w:val="2"/>
          <w:sz w:val="32"/>
          <w:szCs w:val="32"/>
          <w:highlight w:val="none"/>
          <w:lang w:val="en-US" w:eastAsia="zh-CN" w:bidi="ar-SA"/>
        </w:rPr>
        <w:t>3.2.3喷药</w:t>
      </w:r>
    </w:p>
    <w:p w14:paraId="2A9DCE9D">
      <w:pPr>
        <w:keepNext w:val="0"/>
        <w:keepLines w:val="0"/>
        <w:pageBreakBefore w:val="0"/>
        <w:numPr>
          <w:ilvl w:val="0"/>
          <w:numId w:val="0"/>
        </w:numPr>
        <w:kinsoku/>
        <w:overflowPunct/>
        <w:topLinePunct w:val="0"/>
        <w:bidi w:val="0"/>
        <w:snapToGrid/>
        <w:ind w:left="0" w:leftChars="0" w:firstLine="640" w:firstLineChars="200"/>
        <w:textAlignment w:val="auto"/>
        <w:rPr>
          <w:rFonts w:hint="eastAsia" w:ascii="仿宋_GB2312" w:hAnsi="宋体" w:cs="Times New Roman"/>
          <w:b w:val="0"/>
          <w:bCs w:val="0"/>
          <w:color w:val="auto"/>
          <w:kern w:val="2"/>
          <w:sz w:val="32"/>
          <w:szCs w:val="32"/>
          <w:highlight w:val="none"/>
          <w:lang w:val="en-US" w:eastAsia="zh-CN" w:bidi="ar-SA"/>
        </w:rPr>
      </w:pPr>
      <w:r>
        <w:rPr>
          <w:rFonts w:hint="eastAsia" w:ascii="仿宋_GB2312" w:hAnsi="宋体" w:cs="Times New Roman"/>
          <w:b w:val="0"/>
          <w:bCs w:val="0"/>
          <w:color w:val="auto"/>
          <w:kern w:val="2"/>
          <w:sz w:val="32"/>
          <w:szCs w:val="32"/>
          <w:highlight w:val="none"/>
          <w:lang w:val="en-US" w:eastAsia="zh-CN" w:bidi="ar-SA"/>
        </w:rPr>
        <w:t>3片叶时幼苗开始快速展叶，叶片嫩绿，是螟虫、蓟马、蚜虫等害虫的易感期。选用氯虫苯甲酰胺等内吸性杀虫剂，持效期长。出圃前2–3天再喷1次，保证移栽后大田初期免受虫害危害，同时避免药剂残留超标，两次喷药可覆盖整个育苗期和移栽后关键期。</w:t>
      </w:r>
    </w:p>
    <w:p w14:paraId="610CDE42">
      <w:pPr>
        <w:keepNext w:val="0"/>
        <w:keepLines w:val="0"/>
        <w:pageBreakBefore w:val="0"/>
        <w:numPr>
          <w:ilvl w:val="0"/>
          <w:numId w:val="0"/>
        </w:numPr>
        <w:kinsoku/>
        <w:overflowPunct/>
        <w:topLinePunct w:val="0"/>
        <w:bidi w:val="0"/>
        <w:snapToGrid/>
        <w:ind w:left="0" w:leftChars="0" w:firstLine="640" w:firstLineChars="200"/>
        <w:textAlignment w:val="auto"/>
        <w:rPr>
          <w:rFonts w:hint="eastAsia" w:ascii="仿宋_GB2312" w:hAnsi="宋体" w:cs="Times New Roman"/>
          <w:b w:val="0"/>
          <w:bCs w:val="0"/>
          <w:color w:val="auto"/>
          <w:kern w:val="2"/>
          <w:sz w:val="32"/>
          <w:szCs w:val="32"/>
          <w:highlight w:val="none"/>
          <w:lang w:val="en-US" w:eastAsia="zh-CN" w:bidi="ar-SA"/>
        </w:rPr>
      </w:pPr>
      <w:r>
        <w:rPr>
          <w:rFonts w:hint="eastAsia" w:ascii="仿宋_GB2312" w:hAnsi="宋体" w:cs="Times New Roman"/>
          <w:b w:val="0"/>
          <w:bCs w:val="0"/>
          <w:color w:val="auto"/>
          <w:kern w:val="2"/>
          <w:sz w:val="32"/>
          <w:szCs w:val="32"/>
          <w:highlight w:val="none"/>
          <w:lang w:val="en-US" w:eastAsia="zh-CN" w:bidi="ar-SA"/>
        </w:rPr>
        <w:t>3.2.4除草</w:t>
      </w:r>
    </w:p>
    <w:p w14:paraId="52E515B4">
      <w:pPr>
        <w:keepNext w:val="0"/>
        <w:keepLines w:val="0"/>
        <w:pageBreakBefore w:val="0"/>
        <w:numPr>
          <w:ilvl w:val="0"/>
          <w:numId w:val="0"/>
        </w:numPr>
        <w:kinsoku/>
        <w:overflowPunct/>
        <w:topLinePunct w:val="0"/>
        <w:bidi w:val="0"/>
        <w:snapToGrid/>
        <w:ind w:left="0" w:leftChars="0" w:firstLine="640" w:firstLineChars="200"/>
        <w:textAlignment w:val="auto"/>
        <w:rPr>
          <w:rFonts w:hint="default" w:ascii="仿宋_GB2312" w:hAnsi="宋体" w:cs="Times New Roman"/>
          <w:b w:val="0"/>
          <w:bCs w:val="0"/>
          <w:color w:val="auto"/>
          <w:kern w:val="2"/>
          <w:sz w:val="32"/>
          <w:szCs w:val="32"/>
          <w:highlight w:val="none"/>
          <w:lang w:val="en-US" w:eastAsia="zh-CN" w:bidi="ar-SA"/>
        </w:rPr>
      </w:pPr>
      <w:r>
        <w:rPr>
          <w:rFonts w:hint="default" w:ascii="仿宋_GB2312" w:hAnsi="宋体" w:cs="Times New Roman"/>
          <w:b w:val="0"/>
          <w:bCs w:val="0"/>
          <w:color w:val="auto"/>
          <w:kern w:val="2"/>
          <w:sz w:val="32"/>
          <w:szCs w:val="32"/>
          <w:highlight w:val="none"/>
          <w:lang w:val="en-US" w:eastAsia="zh-CN" w:bidi="ar-SA"/>
        </w:rPr>
        <w:t>穴盘育苗空间小，杂草长出会与蔗苗竞争营养、空间，且杂草种子可能混入基质带入大田。人工拔除</w:t>
      </w:r>
      <w:r>
        <w:rPr>
          <w:rFonts w:hint="eastAsia" w:ascii="仿宋_GB2312" w:hAnsi="宋体" w:cs="Times New Roman"/>
          <w:b w:val="0"/>
          <w:bCs w:val="0"/>
          <w:color w:val="auto"/>
          <w:kern w:val="2"/>
          <w:sz w:val="32"/>
          <w:szCs w:val="32"/>
          <w:highlight w:val="none"/>
          <w:lang w:val="en-US" w:eastAsia="zh-CN" w:bidi="ar-SA"/>
        </w:rPr>
        <w:t>杂草</w:t>
      </w:r>
      <w:r>
        <w:rPr>
          <w:rFonts w:hint="default" w:ascii="仿宋_GB2312" w:hAnsi="宋体" w:cs="Times New Roman"/>
          <w:b w:val="0"/>
          <w:bCs w:val="0"/>
          <w:color w:val="auto"/>
          <w:kern w:val="2"/>
          <w:sz w:val="32"/>
          <w:szCs w:val="32"/>
          <w:highlight w:val="none"/>
          <w:lang w:val="en-US" w:eastAsia="zh-CN" w:bidi="ar-SA"/>
        </w:rPr>
        <w:t>避免除草剂药害，</w:t>
      </w:r>
      <w:r>
        <w:rPr>
          <w:rFonts w:hint="eastAsia" w:ascii="仿宋_GB2312" w:hAnsi="宋体" w:cs="Times New Roman"/>
          <w:b w:val="0"/>
          <w:bCs w:val="0"/>
          <w:color w:val="auto"/>
          <w:kern w:val="2"/>
          <w:sz w:val="32"/>
          <w:szCs w:val="32"/>
          <w:highlight w:val="none"/>
          <w:lang w:val="en-US" w:eastAsia="zh-CN" w:bidi="ar-SA"/>
        </w:rPr>
        <w:t>同时</w:t>
      </w:r>
      <w:r>
        <w:rPr>
          <w:rFonts w:hint="default" w:ascii="仿宋_GB2312" w:hAnsi="宋体" w:cs="Times New Roman"/>
          <w:b w:val="0"/>
          <w:bCs w:val="0"/>
          <w:color w:val="auto"/>
          <w:kern w:val="2"/>
          <w:sz w:val="32"/>
          <w:szCs w:val="32"/>
          <w:highlight w:val="none"/>
          <w:lang w:val="en-US" w:eastAsia="zh-CN" w:bidi="ar-SA"/>
        </w:rPr>
        <w:t>便于检查苗情。</w:t>
      </w:r>
    </w:p>
    <w:p w14:paraId="5949B98D">
      <w:pPr>
        <w:keepNext w:val="0"/>
        <w:keepLines w:val="0"/>
        <w:pageBreakBefore w:val="0"/>
        <w:numPr>
          <w:ilvl w:val="0"/>
          <w:numId w:val="0"/>
        </w:numPr>
        <w:kinsoku/>
        <w:overflowPunct/>
        <w:topLinePunct w:val="0"/>
        <w:bidi w:val="0"/>
        <w:snapToGrid/>
        <w:ind w:left="0" w:leftChars="0" w:firstLine="640" w:firstLineChars="200"/>
        <w:textAlignment w:val="auto"/>
        <w:rPr>
          <w:rFonts w:hint="default" w:ascii="仿宋_GB2312" w:hAnsi="宋体" w:eastAsia="仿宋_GB2312" w:cs="Times New Roman"/>
          <w:b w:val="0"/>
          <w:bCs w:val="0"/>
          <w:color w:val="auto"/>
          <w:kern w:val="2"/>
          <w:sz w:val="32"/>
          <w:szCs w:val="32"/>
          <w:highlight w:val="none"/>
          <w:lang w:val="en-US" w:eastAsia="zh-CN" w:bidi="ar-SA"/>
        </w:rPr>
      </w:pPr>
      <w:r>
        <w:rPr>
          <w:rFonts w:hint="eastAsia" w:ascii="仿宋_GB2312" w:hAnsi="宋体" w:cs="Times New Roman"/>
          <w:b w:val="0"/>
          <w:bCs w:val="0"/>
          <w:color w:val="auto"/>
          <w:kern w:val="2"/>
          <w:sz w:val="32"/>
          <w:szCs w:val="32"/>
          <w:highlight w:val="none"/>
          <w:lang w:val="en-US" w:eastAsia="zh-CN" w:bidi="ar-SA"/>
        </w:rPr>
        <w:t>3.3出圃</w:t>
      </w:r>
    </w:p>
    <w:p w14:paraId="21BCCD1A">
      <w:pPr>
        <w:keepNext w:val="0"/>
        <w:keepLines w:val="0"/>
        <w:pageBreakBefore w:val="0"/>
        <w:numPr>
          <w:ilvl w:val="0"/>
          <w:numId w:val="0"/>
        </w:numPr>
        <w:kinsoku/>
        <w:overflowPunct/>
        <w:topLinePunct w:val="0"/>
        <w:bidi w:val="0"/>
        <w:snapToGrid/>
        <w:ind w:left="0" w:leftChars="0" w:firstLine="640" w:firstLineChars="200"/>
        <w:textAlignment w:val="auto"/>
        <w:rPr>
          <w:rFonts w:hint="eastAsia" w:ascii="仿宋_GB2312" w:hAnsi="宋体" w:eastAsia="仿宋_GB2312" w:cs="Times New Roman"/>
          <w:b w:val="0"/>
          <w:bCs w:val="0"/>
          <w:color w:val="auto"/>
          <w:kern w:val="2"/>
          <w:sz w:val="32"/>
          <w:szCs w:val="32"/>
          <w:highlight w:val="none"/>
          <w:lang w:val="en-US" w:eastAsia="zh-CN" w:bidi="ar-SA"/>
        </w:rPr>
      </w:pPr>
      <w:r>
        <w:rPr>
          <w:rFonts w:hint="eastAsia" w:ascii="仿宋_GB2312" w:hAnsi="宋体" w:eastAsia="仿宋_GB2312" w:cs="Times New Roman"/>
          <w:b w:val="0"/>
          <w:bCs w:val="0"/>
          <w:color w:val="auto"/>
          <w:kern w:val="2"/>
          <w:sz w:val="32"/>
          <w:szCs w:val="32"/>
          <w:highlight w:val="none"/>
          <w:lang w:val="en-US" w:eastAsia="zh-CN" w:bidi="ar-SA"/>
        </w:rPr>
        <w:t>育苗25</w:t>
      </w:r>
      <w:r>
        <w:rPr>
          <w:rFonts w:hint="eastAsia" w:ascii="仿宋_GB2312" w:hAnsi="宋体" w:cs="Times New Roman"/>
          <w:b w:val="0"/>
          <w:bCs w:val="0"/>
          <w:color w:val="auto"/>
          <w:kern w:val="2"/>
          <w:sz w:val="32"/>
          <w:szCs w:val="32"/>
          <w:highlight w:val="none"/>
          <w:lang w:val="en-US" w:eastAsia="zh-CN" w:bidi="ar-SA"/>
        </w:rPr>
        <w:t>-</w:t>
      </w:r>
      <w:r>
        <w:rPr>
          <w:rFonts w:hint="eastAsia" w:ascii="仿宋_GB2312" w:hAnsi="宋体" w:eastAsia="仿宋_GB2312" w:cs="Times New Roman"/>
          <w:b w:val="0"/>
          <w:bCs w:val="0"/>
          <w:color w:val="auto"/>
          <w:kern w:val="2"/>
          <w:sz w:val="32"/>
          <w:szCs w:val="32"/>
          <w:highlight w:val="none"/>
          <w:lang w:val="en-US" w:eastAsia="zh-CN" w:bidi="ar-SA"/>
        </w:rPr>
        <w:t>30天，苗高</w:t>
      </w:r>
      <w:r>
        <w:rPr>
          <w:rFonts w:hint="eastAsia" w:ascii="仿宋_GB2312" w:hAnsi="宋体" w:cs="Times New Roman"/>
          <w:b w:val="0"/>
          <w:bCs w:val="0"/>
          <w:color w:val="auto"/>
          <w:kern w:val="2"/>
          <w:sz w:val="32"/>
          <w:szCs w:val="32"/>
          <w:highlight w:val="none"/>
          <w:lang w:val="en-US" w:eastAsia="zh-CN" w:bidi="ar-SA"/>
        </w:rPr>
        <w:t>＞</w:t>
      </w:r>
      <w:r>
        <w:rPr>
          <w:rFonts w:hint="eastAsia" w:ascii="仿宋_GB2312" w:hAnsi="宋体" w:eastAsia="仿宋_GB2312" w:cs="Times New Roman"/>
          <w:b w:val="0"/>
          <w:bCs w:val="0"/>
          <w:color w:val="auto"/>
          <w:kern w:val="2"/>
          <w:sz w:val="32"/>
          <w:szCs w:val="32"/>
          <w:highlight w:val="none"/>
          <w:lang w:val="en-US" w:eastAsia="zh-CN" w:bidi="ar-SA"/>
        </w:rPr>
        <w:t>25cm，</w:t>
      </w:r>
      <w:r>
        <w:rPr>
          <w:rFonts w:hint="eastAsia" w:ascii="仿宋_GB2312" w:hAnsi="宋体" w:cs="Times New Roman"/>
          <w:b w:val="0"/>
          <w:bCs w:val="0"/>
          <w:color w:val="auto"/>
          <w:kern w:val="2"/>
          <w:sz w:val="32"/>
          <w:szCs w:val="32"/>
          <w:highlight w:val="none"/>
          <w:lang w:val="en-US" w:eastAsia="zh-CN" w:bidi="ar-SA"/>
        </w:rPr>
        <w:t>长至</w:t>
      </w:r>
      <w:r>
        <w:rPr>
          <w:rFonts w:hint="eastAsia" w:ascii="仿宋_GB2312" w:hAnsi="宋体" w:eastAsia="仿宋_GB2312" w:cs="Times New Roman"/>
          <w:b w:val="0"/>
          <w:bCs w:val="0"/>
          <w:color w:val="auto"/>
          <w:kern w:val="2"/>
          <w:sz w:val="32"/>
          <w:szCs w:val="32"/>
          <w:highlight w:val="none"/>
          <w:lang w:val="en-US" w:eastAsia="zh-CN" w:bidi="ar-SA"/>
        </w:rPr>
        <w:t>4</w:t>
      </w:r>
      <w:r>
        <w:rPr>
          <w:rFonts w:hint="eastAsia" w:ascii="仿宋_GB2312" w:hAnsi="宋体" w:cs="Times New Roman"/>
          <w:b w:val="0"/>
          <w:bCs w:val="0"/>
          <w:color w:val="auto"/>
          <w:kern w:val="2"/>
          <w:sz w:val="32"/>
          <w:szCs w:val="32"/>
          <w:highlight w:val="none"/>
          <w:lang w:val="en-US" w:eastAsia="zh-CN" w:bidi="ar-SA"/>
        </w:rPr>
        <w:t>-</w:t>
      </w:r>
      <w:r>
        <w:rPr>
          <w:rFonts w:hint="eastAsia" w:ascii="仿宋_GB2312" w:hAnsi="宋体" w:eastAsia="仿宋_GB2312" w:cs="Times New Roman"/>
          <w:b w:val="0"/>
          <w:bCs w:val="0"/>
          <w:color w:val="auto"/>
          <w:kern w:val="2"/>
          <w:sz w:val="32"/>
          <w:szCs w:val="32"/>
          <w:highlight w:val="none"/>
          <w:lang w:val="en-US" w:eastAsia="zh-CN" w:bidi="ar-SA"/>
        </w:rPr>
        <w:t>6片叶</w:t>
      </w:r>
      <w:r>
        <w:rPr>
          <w:rFonts w:hint="eastAsia" w:ascii="仿宋_GB2312" w:hAnsi="宋体" w:cs="Times New Roman"/>
          <w:b w:val="0"/>
          <w:bCs w:val="0"/>
          <w:color w:val="auto"/>
          <w:kern w:val="2"/>
          <w:sz w:val="32"/>
          <w:szCs w:val="32"/>
          <w:highlight w:val="none"/>
          <w:lang w:val="en-US" w:eastAsia="zh-CN" w:bidi="ar-SA"/>
        </w:rPr>
        <w:t>，</w:t>
      </w:r>
      <w:r>
        <w:rPr>
          <w:rFonts w:hint="eastAsia" w:ascii="仿宋_GB2312" w:hAnsi="宋体" w:eastAsia="仿宋_GB2312" w:cs="Times New Roman"/>
          <w:b w:val="0"/>
          <w:bCs w:val="0"/>
          <w:color w:val="auto"/>
          <w:kern w:val="2"/>
          <w:sz w:val="32"/>
          <w:szCs w:val="32"/>
          <w:highlight w:val="none"/>
          <w:lang w:val="en-US" w:eastAsia="zh-CN" w:bidi="ar-SA"/>
        </w:rPr>
        <w:t>此时幼苗已形成独立根系，茎秆有一定高度和韧性，能够承受移栽机械的夹取、运输和栽植冲击。取苗时剪除1/3–1/2叶片</w:t>
      </w:r>
      <w:r>
        <w:rPr>
          <w:rFonts w:hint="eastAsia" w:ascii="仿宋_GB2312" w:hAnsi="宋体" w:cs="Times New Roman"/>
          <w:b w:val="0"/>
          <w:bCs w:val="0"/>
          <w:color w:val="auto"/>
          <w:kern w:val="2"/>
          <w:sz w:val="32"/>
          <w:szCs w:val="32"/>
          <w:highlight w:val="none"/>
          <w:lang w:val="en-US" w:eastAsia="zh-CN" w:bidi="ar-SA"/>
        </w:rPr>
        <w:t>，</w:t>
      </w:r>
      <w:r>
        <w:rPr>
          <w:rFonts w:hint="eastAsia" w:ascii="仿宋_GB2312" w:hAnsi="宋体" w:eastAsia="仿宋_GB2312" w:cs="Times New Roman"/>
          <w:b w:val="0"/>
          <w:bCs w:val="0"/>
          <w:color w:val="auto"/>
          <w:kern w:val="2"/>
          <w:sz w:val="32"/>
          <w:szCs w:val="32"/>
          <w:highlight w:val="none"/>
          <w:lang w:val="en-US" w:eastAsia="zh-CN" w:bidi="ar-SA"/>
        </w:rPr>
        <w:t>可大幅减少移栽后叶片蒸腾失水，提高移栽成活率。同时，剪短叶片也方便机械化栽植时苗体整齐。</w:t>
      </w:r>
      <w:r>
        <w:rPr>
          <w:rFonts w:hint="eastAsia" w:ascii="仿宋_GB2312" w:hAnsi="宋体" w:cs="Times New Roman"/>
          <w:b w:val="0"/>
          <w:bCs w:val="0"/>
          <w:color w:val="auto"/>
          <w:kern w:val="2"/>
          <w:sz w:val="32"/>
          <w:szCs w:val="32"/>
          <w:highlight w:val="none"/>
          <w:lang w:val="en-US" w:eastAsia="zh-CN" w:bidi="ar-SA"/>
        </w:rPr>
        <w:t>取苗时</w:t>
      </w:r>
      <w:r>
        <w:rPr>
          <w:rFonts w:hint="eastAsia" w:ascii="仿宋_GB2312" w:hAnsi="宋体" w:eastAsia="仿宋_GB2312" w:cs="Times New Roman"/>
          <w:b w:val="0"/>
          <w:bCs w:val="0"/>
          <w:color w:val="auto"/>
          <w:kern w:val="2"/>
          <w:sz w:val="32"/>
          <w:szCs w:val="32"/>
          <w:highlight w:val="none"/>
          <w:lang w:val="en-US" w:eastAsia="zh-CN" w:bidi="ar-SA"/>
        </w:rPr>
        <w:t>营养土含水率30%</w:t>
      </w:r>
      <w:r>
        <w:rPr>
          <w:rFonts w:hint="eastAsia" w:ascii="仿宋_GB2312" w:hAnsi="宋体" w:cs="Times New Roman"/>
          <w:b w:val="0"/>
          <w:bCs w:val="0"/>
          <w:color w:val="auto"/>
          <w:kern w:val="2"/>
          <w:sz w:val="32"/>
          <w:szCs w:val="32"/>
          <w:highlight w:val="none"/>
          <w:lang w:val="en-US" w:eastAsia="zh-CN" w:bidi="ar-SA"/>
        </w:rPr>
        <w:t>-</w:t>
      </w:r>
      <w:r>
        <w:rPr>
          <w:rFonts w:hint="eastAsia" w:ascii="仿宋_GB2312" w:hAnsi="宋体" w:eastAsia="仿宋_GB2312" w:cs="Times New Roman"/>
          <w:b w:val="0"/>
          <w:bCs w:val="0"/>
          <w:color w:val="auto"/>
          <w:kern w:val="2"/>
          <w:sz w:val="32"/>
          <w:szCs w:val="32"/>
          <w:highlight w:val="none"/>
          <w:lang w:val="en-US" w:eastAsia="zh-CN" w:bidi="ar-SA"/>
        </w:rPr>
        <w:t>45%</w:t>
      </w:r>
      <w:r>
        <w:rPr>
          <w:rFonts w:hint="eastAsia" w:ascii="仿宋_GB2312" w:hAnsi="宋体" w:cs="Times New Roman"/>
          <w:b w:val="0"/>
          <w:bCs w:val="0"/>
          <w:color w:val="auto"/>
          <w:kern w:val="2"/>
          <w:sz w:val="32"/>
          <w:szCs w:val="32"/>
          <w:highlight w:val="none"/>
          <w:lang w:val="en-US" w:eastAsia="zh-CN" w:bidi="ar-SA"/>
        </w:rPr>
        <w:t>，处于</w:t>
      </w:r>
      <w:r>
        <w:rPr>
          <w:rFonts w:hint="eastAsia" w:ascii="仿宋_GB2312" w:hAnsi="宋体" w:eastAsia="仿宋_GB2312" w:cs="Times New Roman"/>
          <w:b w:val="0"/>
          <w:bCs w:val="0"/>
          <w:color w:val="auto"/>
          <w:kern w:val="2"/>
          <w:sz w:val="32"/>
          <w:szCs w:val="32"/>
          <w:highlight w:val="none"/>
          <w:lang w:val="en-US" w:eastAsia="zh-CN" w:bidi="ar-SA"/>
        </w:rPr>
        <w:t>手握成团、轻碰即散的适宜状态，既能保持苗坨完整，又利于机械夹持和定植后快速与土壤水势平衡。</w:t>
      </w:r>
    </w:p>
    <w:p w14:paraId="52A15E72">
      <w:pPr>
        <w:keepNext w:val="0"/>
        <w:keepLines w:val="0"/>
        <w:pageBreakBefore w:val="0"/>
        <w:numPr>
          <w:ilvl w:val="0"/>
          <w:numId w:val="0"/>
        </w:numPr>
        <w:kinsoku/>
        <w:overflowPunct/>
        <w:topLinePunct w:val="0"/>
        <w:bidi w:val="0"/>
        <w:snapToGrid/>
        <w:ind w:left="0" w:leftChars="0" w:firstLine="640" w:firstLineChars="200"/>
        <w:textAlignment w:val="auto"/>
        <w:rPr>
          <w:rFonts w:hint="eastAsia" w:ascii="仿宋_GB2312" w:hAnsi="宋体" w:eastAsia="仿宋_GB2312" w:cs="Times New Roman"/>
          <w:b w:val="0"/>
          <w:bCs w:val="0"/>
          <w:color w:val="auto"/>
          <w:kern w:val="2"/>
          <w:sz w:val="32"/>
          <w:szCs w:val="32"/>
          <w:highlight w:val="none"/>
          <w:lang w:val="en-US" w:eastAsia="zh-CN" w:bidi="ar-SA"/>
        </w:rPr>
      </w:pPr>
      <w:r>
        <w:rPr>
          <w:rFonts w:hint="eastAsia" w:ascii="仿宋_GB2312" w:hAnsi="宋体" w:eastAsia="仿宋_GB2312" w:cs="Times New Roman"/>
          <w:b w:val="0"/>
          <w:bCs w:val="0"/>
          <w:color w:val="auto"/>
          <w:kern w:val="2"/>
          <w:sz w:val="32"/>
          <w:szCs w:val="32"/>
          <w:highlight w:val="none"/>
          <w:lang w:val="en-US" w:eastAsia="zh-CN" w:bidi="ar-SA"/>
        </w:rPr>
        <w:t>（</w:t>
      </w:r>
      <w:r>
        <w:rPr>
          <w:rFonts w:hint="eastAsia" w:ascii="仿宋_GB2312" w:hAnsi="宋体" w:cs="Times New Roman"/>
          <w:b w:val="0"/>
          <w:bCs w:val="0"/>
          <w:color w:val="auto"/>
          <w:kern w:val="2"/>
          <w:sz w:val="32"/>
          <w:szCs w:val="32"/>
          <w:highlight w:val="none"/>
          <w:lang w:val="en-US" w:eastAsia="zh-CN" w:bidi="ar-SA"/>
        </w:rPr>
        <w:t>四</w:t>
      </w:r>
      <w:r>
        <w:rPr>
          <w:rFonts w:hint="eastAsia" w:ascii="仿宋_GB2312" w:hAnsi="宋体" w:eastAsia="仿宋_GB2312" w:cs="Times New Roman"/>
          <w:b w:val="0"/>
          <w:bCs w:val="0"/>
          <w:color w:val="auto"/>
          <w:kern w:val="2"/>
          <w:sz w:val="32"/>
          <w:szCs w:val="32"/>
          <w:highlight w:val="none"/>
          <w:lang w:val="en-US" w:eastAsia="zh-CN" w:bidi="ar-SA"/>
        </w:rPr>
        <w:t>）单芽种茎（苗）机械种（移）植</w:t>
      </w:r>
    </w:p>
    <w:p w14:paraId="17742DEE">
      <w:pPr>
        <w:keepNext w:val="0"/>
        <w:keepLines w:val="0"/>
        <w:pageBreakBefore w:val="0"/>
        <w:kinsoku/>
        <w:overflowPunct/>
        <w:topLinePunct w:val="0"/>
        <w:bidi w:val="0"/>
        <w:snapToGrid/>
        <w:ind w:firstLine="640" w:firstLineChars="200"/>
        <w:textAlignment w:val="auto"/>
        <w:rPr>
          <w:rFonts w:hint="eastAsia" w:ascii="仿宋_GB2312" w:hAnsi="仿宋_GB2312" w:cs="仿宋_GB2312"/>
          <w:color w:val="auto"/>
          <w:sz w:val="32"/>
          <w:szCs w:val="32"/>
          <w:highlight w:val="none"/>
          <w:lang w:val="en-US" w:eastAsia="zh-CN"/>
        </w:rPr>
      </w:pPr>
      <w:r>
        <w:rPr>
          <w:rFonts w:hint="eastAsia" w:ascii="仿宋_GB2312" w:hAnsi="仿宋_GB2312" w:cs="仿宋_GB2312"/>
          <w:color w:val="auto"/>
          <w:sz w:val="32"/>
          <w:szCs w:val="32"/>
          <w:highlight w:val="none"/>
          <w:lang w:val="en-US" w:eastAsia="zh-CN"/>
        </w:rPr>
        <w:t>4.1耕整地</w:t>
      </w:r>
    </w:p>
    <w:p w14:paraId="12CBCE9B">
      <w:pPr>
        <w:keepNext w:val="0"/>
        <w:keepLines w:val="0"/>
        <w:pageBreakBefore w:val="0"/>
        <w:kinsoku/>
        <w:overflowPunct/>
        <w:topLinePunct w:val="0"/>
        <w:bidi w:val="0"/>
        <w:snapToGrid/>
        <w:ind w:firstLine="640" w:firstLineChars="200"/>
        <w:textAlignment w:val="auto"/>
        <w:rPr>
          <w:rFonts w:hint="default" w:ascii="仿宋_GB2312" w:hAnsi="仿宋_GB2312" w:cs="仿宋_GB2312"/>
          <w:color w:val="auto"/>
          <w:sz w:val="32"/>
          <w:szCs w:val="32"/>
          <w:highlight w:val="none"/>
          <w:lang w:val="en-US" w:eastAsia="zh-CN"/>
        </w:rPr>
      </w:pPr>
      <w:r>
        <w:rPr>
          <w:rFonts w:hint="default" w:ascii="仿宋_GB2312" w:hAnsi="仿宋_GB2312" w:cs="仿宋_GB2312"/>
          <w:color w:val="auto"/>
          <w:sz w:val="32"/>
          <w:szCs w:val="32"/>
          <w:highlight w:val="none"/>
          <w:lang w:val="en-US" w:eastAsia="zh-CN"/>
        </w:rPr>
        <w:t>种茎（苗）根系发育需要深厚的疏松土层</w:t>
      </w:r>
      <w:r>
        <w:rPr>
          <w:rFonts w:hint="eastAsia" w:ascii="仿宋_GB2312" w:hAnsi="仿宋_GB2312" w:cs="仿宋_GB2312"/>
          <w:color w:val="auto"/>
          <w:sz w:val="32"/>
          <w:szCs w:val="32"/>
          <w:highlight w:val="none"/>
          <w:lang w:val="en-US" w:eastAsia="zh-CN"/>
        </w:rPr>
        <w:t>，</w:t>
      </w:r>
      <w:r>
        <w:rPr>
          <w:rFonts w:hint="default" w:ascii="仿宋_GB2312" w:hAnsi="仿宋_GB2312" w:cs="仿宋_GB2312"/>
          <w:color w:val="auto"/>
          <w:sz w:val="32"/>
          <w:szCs w:val="32"/>
          <w:highlight w:val="none"/>
          <w:lang w:val="en-US" w:eastAsia="zh-CN"/>
        </w:rPr>
        <w:t>深耕深松打破犁底层，增加土壤孔隙度，促进根系下扎，提高抗旱抗倒伏能力</w:t>
      </w:r>
      <w:r>
        <w:rPr>
          <w:rFonts w:hint="eastAsia" w:ascii="仿宋_GB2312" w:hAnsi="仿宋_GB2312" w:cs="仿宋_GB2312"/>
          <w:color w:val="auto"/>
          <w:sz w:val="32"/>
          <w:szCs w:val="32"/>
          <w:highlight w:val="none"/>
          <w:lang w:val="en-US" w:eastAsia="zh-CN"/>
        </w:rPr>
        <w:t>，</w:t>
      </w:r>
      <w:r>
        <w:rPr>
          <w:rFonts w:hint="default" w:ascii="仿宋_GB2312" w:hAnsi="仿宋_GB2312" w:cs="仿宋_GB2312"/>
          <w:color w:val="auto"/>
          <w:sz w:val="32"/>
          <w:szCs w:val="32"/>
          <w:highlight w:val="none"/>
          <w:lang w:val="en-US" w:eastAsia="zh-CN"/>
        </w:rPr>
        <w:t>同时改善土壤通透性，利于有机质分解和微生物活动。</w:t>
      </w:r>
      <w:r>
        <w:rPr>
          <w:rFonts w:hint="eastAsia" w:ascii="仿宋_GB2312" w:hAnsi="仿宋_GB2312" w:cs="仿宋_GB2312"/>
          <w:color w:val="auto"/>
          <w:sz w:val="32"/>
          <w:szCs w:val="32"/>
          <w:highlight w:val="none"/>
          <w:lang w:val="en-US" w:eastAsia="zh-CN"/>
        </w:rPr>
        <w:t>两次</w:t>
      </w:r>
      <w:r>
        <w:rPr>
          <w:rFonts w:hint="eastAsia"/>
        </w:rPr>
        <w:t>犁耙</w:t>
      </w:r>
      <w:r>
        <w:rPr>
          <w:rFonts w:hint="eastAsia"/>
          <w:lang w:eastAsia="zh-CN"/>
        </w:rPr>
        <w:t>，</w:t>
      </w:r>
      <w:r>
        <w:rPr>
          <w:rFonts w:hint="default" w:ascii="仿宋_GB2312" w:hAnsi="仿宋_GB2312" w:cs="仿宋_GB2312"/>
          <w:color w:val="auto"/>
          <w:sz w:val="32"/>
          <w:szCs w:val="32"/>
          <w:highlight w:val="none"/>
          <w:lang w:val="en-US" w:eastAsia="zh-CN"/>
        </w:rPr>
        <w:t>充分碎土、平整地表，消除大土块和秸秆残茬，确保后续播种机开沟、覆土、盖膜作业时地面连续、无阻碍，避免因地不平造成深浅不一或地膜破损。</w:t>
      </w:r>
    </w:p>
    <w:p w14:paraId="26E8923F">
      <w:pPr>
        <w:keepNext w:val="0"/>
        <w:keepLines w:val="0"/>
        <w:pageBreakBefore w:val="0"/>
        <w:kinsoku/>
        <w:overflowPunct/>
        <w:topLinePunct w:val="0"/>
        <w:bidi w:val="0"/>
        <w:snapToGrid/>
        <w:ind w:firstLine="640" w:firstLineChars="200"/>
        <w:textAlignment w:val="auto"/>
        <w:rPr>
          <w:rFonts w:hint="default" w:ascii="仿宋_GB2312" w:hAnsi="仿宋_GB2312" w:cs="仿宋_GB2312"/>
          <w:color w:val="auto"/>
          <w:sz w:val="32"/>
          <w:szCs w:val="32"/>
          <w:highlight w:val="none"/>
          <w:lang w:val="en-US" w:eastAsia="zh-CN"/>
        </w:rPr>
      </w:pPr>
      <w:r>
        <w:rPr>
          <w:rFonts w:hint="eastAsia" w:ascii="仿宋_GB2312" w:hAnsi="仿宋_GB2312" w:cs="仿宋_GB2312"/>
          <w:color w:val="auto"/>
          <w:sz w:val="32"/>
          <w:szCs w:val="32"/>
          <w:highlight w:val="none"/>
          <w:lang w:val="en-US" w:eastAsia="zh-CN"/>
        </w:rPr>
        <w:t>4.2</w:t>
      </w:r>
      <w:r>
        <w:rPr>
          <w:rFonts w:hint="default" w:ascii="仿宋_GB2312" w:hAnsi="仿宋_GB2312" w:cs="仿宋_GB2312"/>
          <w:color w:val="auto"/>
          <w:sz w:val="32"/>
          <w:szCs w:val="32"/>
          <w:highlight w:val="none"/>
          <w:lang w:val="en-US" w:eastAsia="zh-CN"/>
        </w:rPr>
        <w:t>滴灌设施安装</w:t>
      </w:r>
    </w:p>
    <w:p w14:paraId="4CF56758">
      <w:pPr>
        <w:pStyle w:val="35"/>
        <w:ind w:firstLine="420"/>
        <w:rPr>
          <w:rFonts w:hint="default" w:ascii="仿宋_GB2312" w:hAnsi="仿宋_GB2312" w:eastAsia="仿宋_GB2312" w:cs="仿宋_GB2312"/>
          <w:color w:val="auto"/>
          <w:kern w:val="2"/>
          <w:sz w:val="32"/>
          <w:szCs w:val="32"/>
          <w:highlight w:val="none"/>
          <w:lang w:val="en-US" w:eastAsia="zh-CN" w:bidi="ar-SA"/>
        </w:rPr>
      </w:pPr>
      <w:r>
        <w:rPr>
          <w:rFonts w:hint="default" w:ascii="仿宋_GB2312" w:hAnsi="仿宋_GB2312" w:eastAsia="仿宋_GB2312" w:cs="仿宋_GB2312"/>
          <w:color w:val="auto"/>
          <w:kern w:val="2"/>
          <w:sz w:val="32"/>
          <w:szCs w:val="32"/>
          <w:highlight w:val="none"/>
          <w:lang w:val="en-US" w:eastAsia="zh-CN" w:bidi="ar-SA"/>
        </w:rPr>
        <w:t>滴灌能显著提高水肥利用率，减少杂草和病害，也是实现精准施肥和后期机械化管理的核心设施。单芽种茎（苗）初期根系弱，对水分敏感</w:t>
      </w:r>
      <w:r>
        <w:rPr>
          <w:rFonts w:hint="eastAsia" w:ascii="仿宋_GB2312" w:hAnsi="仿宋_GB2312" w:eastAsia="仿宋_GB2312" w:cs="仿宋_GB2312"/>
          <w:color w:val="auto"/>
          <w:kern w:val="2"/>
          <w:sz w:val="32"/>
          <w:szCs w:val="32"/>
          <w:highlight w:val="none"/>
          <w:lang w:val="en-US" w:eastAsia="zh-CN" w:bidi="ar-SA"/>
        </w:rPr>
        <w:t>，使用</w:t>
      </w:r>
      <w:r>
        <w:rPr>
          <w:rFonts w:hint="default" w:ascii="仿宋_GB2312" w:hAnsi="仿宋_GB2312" w:eastAsia="仿宋_GB2312" w:cs="仿宋_GB2312"/>
          <w:color w:val="auto"/>
          <w:kern w:val="2"/>
          <w:sz w:val="32"/>
          <w:szCs w:val="32"/>
          <w:highlight w:val="none"/>
          <w:lang w:val="en-US" w:eastAsia="zh-CN" w:bidi="ar-SA"/>
        </w:rPr>
        <w:t>滴灌控制根区水分和养分。种植前安装滴灌带，避免后装损伤苗或根系</w:t>
      </w:r>
      <w:r>
        <w:rPr>
          <w:rFonts w:hint="eastAsia" w:ascii="仿宋_GB2312" w:hAnsi="仿宋_GB2312" w:eastAsia="仿宋_GB2312" w:cs="仿宋_GB2312"/>
          <w:color w:val="auto"/>
          <w:kern w:val="2"/>
          <w:sz w:val="32"/>
          <w:szCs w:val="32"/>
          <w:highlight w:val="none"/>
          <w:lang w:val="en-US" w:eastAsia="zh-CN" w:bidi="ar-SA"/>
        </w:rPr>
        <w:t>，可</w:t>
      </w:r>
      <w:r>
        <w:rPr>
          <w:rFonts w:hint="default" w:ascii="仿宋_GB2312" w:hAnsi="仿宋_GB2312" w:eastAsia="仿宋_GB2312" w:cs="仿宋_GB2312"/>
          <w:color w:val="auto"/>
          <w:kern w:val="2"/>
          <w:sz w:val="32"/>
          <w:szCs w:val="32"/>
          <w:highlight w:val="none"/>
          <w:lang w:val="en-US" w:eastAsia="zh-CN" w:bidi="ar-SA"/>
        </w:rPr>
        <w:t>参照</w:t>
      </w:r>
      <w:r>
        <w:rPr>
          <w:rFonts w:hint="eastAsia" w:ascii="仿宋_GB2312" w:hAnsi="仿宋_GB2312" w:eastAsia="仿宋_GB2312" w:cs="仿宋_GB2312"/>
          <w:color w:val="auto"/>
          <w:kern w:val="2"/>
          <w:sz w:val="32"/>
          <w:szCs w:val="32"/>
          <w:highlight w:val="none"/>
          <w:lang w:val="en-US" w:eastAsia="zh-CN" w:bidi="ar-SA"/>
        </w:rPr>
        <w:t>《T/CATEA 002—2022  甘蔗膜下滴灌水肥一体化栽培技术规程》的要求。</w:t>
      </w:r>
    </w:p>
    <w:p w14:paraId="64871C19">
      <w:pPr>
        <w:keepNext w:val="0"/>
        <w:keepLines w:val="0"/>
        <w:pageBreakBefore w:val="0"/>
        <w:kinsoku/>
        <w:overflowPunct/>
        <w:topLinePunct w:val="0"/>
        <w:bidi w:val="0"/>
        <w:snapToGrid/>
        <w:ind w:firstLine="640" w:firstLineChars="200"/>
        <w:textAlignment w:val="auto"/>
        <w:rPr>
          <w:rFonts w:hint="default" w:ascii="仿宋_GB2312" w:hAnsi="仿宋_GB2312" w:cs="仿宋_GB2312"/>
          <w:color w:val="auto"/>
          <w:sz w:val="32"/>
          <w:szCs w:val="32"/>
          <w:highlight w:val="none"/>
          <w:lang w:val="en-US" w:eastAsia="zh-CN"/>
        </w:rPr>
      </w:pPr>
      <w:r>
        <w:rPr>
          <w:rFonts w:hint="eastAsia" w:ascii="仿宋_GB2312" w:hAnsi="仿宋_GB2312" w:cs="仿宋_GB2312"/>
          <w:color w:val="auto"/>
          <w:sz w:val="32"/>
          <w:szCs w:val="32"/>
          <w:highlight w:val="none"/>
          <w:lang w:val="en-US" w:eastAsia="zh-CN"/>
        </w:rPr>
        <w:t>4.3</w:t>
      </w:r>
      <w:r>
        <w:rPr>
          <w:rFonts w:hint="default" w:ascii="仿宋_GB2312" w:hAnsi="仿宋_GB2312" w:cs="仿宋_GB2312"/>
          <w:color w:val="auto"/>
          <w:sz w:val="32"/>
          <w:szCs w:val="32"/>
          <w:highlight w:val="none"/>
          <w:lang w:val="en-US" w:eastAsia="zh-CN"/>
        </w:rPr>
        <w:t>下种、移栽期</w:t>
      </w:r>
      <w:r>
        <w:rPr>
          <w:rFonts w:hint="eastAsia" w:ascii="仿宋_GB2312" w:hAnsi="仿宋_GB2312" w:cs="仿宋_GB2312"/>
          <w:color w:val="auto"/>
          <w:sz w:val="32"/>
          <w:szCs w:val="32"/>
          <w:highlight w:val="none"/>
          <w:lang w:val="en-US" w:eastAsia="zh-CN"/>
        </w:rPr>
        <w:t>和开行施肥</w:t>
      </w:r>
    </w:p>
    <w:p w14:paraId="329188D3">
      <w:pPr>
        <w:keepNext w:val="0"/>
        <w:keepLines w:val="0"/>
        <w:pageBreakBefore w:val="0"/>
        <w:kinsoku/>
        <w:overflowPunct/>
        <w:topLinePunct w:val="0"/>
        <w:bidi w:val="0"/>
        <w:snapToGrid/>
        <w:ind w:firstLine="640" w:firstLineChars="200"/>
        <w:textAlignment w:val="auto"/>
        <w:rPr>
          <w:rFonts w:hint="default" w:ascii="仿宋_GB2312" w:hAnsi="仿宋_GB2312" w:cs="仿宋_GB2312"/>
          <w:color w:val="auto"/>
          <w:sz w:val="32"/>
          <w:szCs w:val="32"/>
          <w:highlight w:val="none"/>
          <w:lang w:val="en-US" w:eastAsia="zh-CN"/>
        </w:rPr>
      </w:pPr>
      <w:r>
        <w:rPr>
          <w:rFonts w:hint="default" w:ascii="仿宋_GB2312" w:hAnsi="仿宋_GB2312" w:cs="仿宋_GB2312"/>
          <w:color w:val="auto"/>
          <w:sz w:val="32"/>
          <w:szCs w:val="32"/>
          <w:highlight w:val="none"/>
          <w:lang w:val="en-US" w:eastAsia="zh-CN"/>
        </w:rPr>
        <w:t>甘蔗萌芽需要有效积温，地温≥15℃时根系和芽开始活跃生长</w:t>
      </w:r>
      <w:r>
        <w:rPr>
          <w:rFonts w:hint="eastAsia" w:ascii="仿宋_GB2312" w:hAnsi="仿宋_GB2312" w:cs="仿宋_GB2312"/>
          <w:color w:val="auto"/>
          <w:sz w:val="32"/>
          <w:szCs w:val="32"/>
          <w:highlight w:val="none"/>
          <w:lang w:val="en-US" w:eastAsia="zh-CN"/>
        </w:rPr>
        <w:t>，</w:t>
      </w:r>
      <w:r>
        <w:rPr>
          <w:rFonts w:hint="default" w:ascii="仿宋_GB2312" w:hAnsi="仿宋_GB2312" w:cs="仿宋_GB2312"/>
          <w:color w:val="auto"/>
          <w:sz w:val="32"/>
          <w:szCs w:val="32"/>
          <w:highlight w:val="none"/>
          <w:lang w:val="en-US" w:eastAsia="zh-CN"/>
        </w:rPr>
        <w:t>以地温为基准比固定日期更科学，适应每年气候变化。</w:t>
      </w:r>
      <w:r>
        <w:rPr>
          <w:rFonts w:hint="eastAsia" w:ascii="仿宋_GB2312" w:hAnsi="仿宋_GB2312" w:cs="仿宋_GB2312"/>
          <w:color w:val="auto"/>
          <w:sz w:val="32"/>
          <w:szCs w:val="32"/>
          <w:highlight w:val="none"/>
          <w:lang w:val="en-US" w:eastAsia="zh-CN"/>
        </w:rPr>
        <w:t>开行采用</w:t>
      </w:r>
      <w:r>
        <w:rPr>
          <w:rFonts w:hint="default" w:ascii="仿宋_GB2312" w:hAnsi="仿宋_GB2312" w:cs="仿宋_GB2312"/>
          <w:color w:val="auto"/>
          <w:sz w:val="32"/>
          <w:szCs w:val="32"/>
          <w:highlight w:val="none"/>
          <w:lang w:val="en-US" w:eastAsia="zh-CN"/>
        </w:rPr>
        <w:t>宽窄行（1.8</w:t>
      </w:r>
      <w:r>
        <w:rPr>
          <w:rFonts w:hint="eastAsia" w:ascii="仿宋_GB2312" w:hAnsi="仿宋_GB2312" w:cs="仿宋_GB2312"/>
          <w:color w:val="auto"/>
          <w:sz w:val="32"/>
          <w:szCs w:val="32"/>
          <w:highlight w:val="none"/>
          <w:lang w:val="en-US" w:eastAsia="zh-CN"/>
        </w:rPr>
        <w:t>-</w:t>
      </w:r>
      <w:r>
        <w:rPr>
          <w:rFonts w:hint="default" w:ascii="仿宋_GB2312" w:hAnsi="仿宋_GB2312" w:cs="仿宋_GB2312"/>
          <w:color w:val="auto"/>
          <w:sz w:val="32"/>
          <w:szCs w:val="32"/>
          <w:highlight w:val="none"/>
          <w:lang w:val="en-US" w:eastAsia="zh-CN"/>
        </w:rPr>
        <w:t>2.0 m）</w:t>
      </w:r>
      <w:r>
        <w:rPr>
          <w:rFonts w:hint="eastAsia" w:ascii="仿宋_GB2312" w:hAnsi="仿宋_GB2312" w:cs="仿宋_GB2312"/>
          <w:color w:val="auto"/>
          <w:sz w:val="32"/>
          <w:szCs w:val="32"/>
          <w:highlight w:val="none"/>
          <w:lang w:val="en-US" w:eastAsia="zh-CN"/>
        </w:rPr>
        <w:t>，该模式已经起草单位</w:t>
      </w:r>
      <w:r>
        <w:rPr>
          <w:rFonts w:hint="eastAsia" w:ascii="仿宋_GB2312" w:hAnsi="仿宋_GB2312" w:cs="仿宋_GB2312"/>
          <w:color w:val="auto"/>
          <w:sz w:val="32"/>
          <w:szCs w:val="28"/>
          <w:highlight w:val="none"/>
          <w:lang w:val="en-US" w:eastAsia="zh-CN"/>
        </w:rPr>
        <w:t>实践，</w:t>
      </w:r>
      <w:r>
        <w:rPr>
          <w:rFonts w:hint="default" w:ascii="仿宋_GB2312" w:hAnsi="仿宋_GB2312" w:cs="仿宋_GB2312"/>
          <w:color w:val="auto"/>
          <w:sz w:val="32"/>
          <w:szCs w:val="28"/>
          <w:highlight w:val="none"/>
          <w:lang w:val="en-US" w:eastAsia="zh-CN"/>
        </w:rPr>
        <w:t>每亩作业距离</w:t>
      </w:r>
      <w:r>
        <w:rPr>
          <w:rFonts w:hint="eastAsia" w:ascii="仿宋_GB2312" w:hAnsi="仿宋_GB2312" w:cs="仿宋_GB2312"/>
          <w:color w:val="auto"/>
          <w:sz w:val="32"/>
          <w:szCs w:val="28"/>
          <w:highlight w:val="none"/>
          <w:lang w:val="en-US" w:eastAsia="zh-CN"/>
        </w:rPr>
        <w:t>分别约</w:t>
      </w:r>
      <w:r>
        <w:rPr>
          <w:rFonts w:hint="default" w:ascii="仿宋_GB2312" w:hAnsi="仿宋_GB2312" w:cs="仿宋_GB2312"/>
          <w:color w:val="auto"/>
          <w:sz w:val="32"/>
          <w:szCs w:val="28"/>
          <w:highlight w:val="none"/>
          <w:lang w:val="en-US" w:eastAsia="zh-CN"/>
        </w:rPr>
        <w:t>351m、444m，比常规的1.2m作业距离550m，减少199m、106m，作业效率比常规提高30-50%</w:t>
      </w:r>
      <w:r>
        <w:rPr>
          <w:rFonts w:hint="eastAsia" w:ascii="仿宋_GB2312" w:hAnsi="仿宋_GB2312" w:cs="仿宋_GB2312"/>
          <w:color w:val="auto"/>
          <w:sz w:val="32"/>
          <w:szCs w:val="28"/>
          <w:highlight w:val="none"/>
          <w:lang w:val="en-US" w:eastAsia="zh-CN"/>
        </w:rPr>
        <w:t>。具体操作按起草单位编写的</w:t>
      </w:r>
      <w:r>
        <w:rPr>
          <w:rFonts w:hint="eastAsia" w:ascii="仿宋_GB2312" w:hAnsi="仿宋_GB2312" w:cs="仿宋_GB2312"/>
          <w:color w:val="auto"/>
          <w:sz w:val="32"/>
          <w:szCs w:val="32"/>
          <w:highlight w:val="none"/>
          <w:lang w:val="en-US" w:eastAsia="zh-CN"/>
        </w:rPr>
        <w:t>《</w:t>
      </w:r>
      <w:r>
        <w:rPr>
          <w:rFonts w:hint="eastAsia"/>
        </w:rPr>
        <w:t>糖料蔗规模种植高效高产全程机械化生产技术规程</w:t>
      </w:r>
      <w:r>
        <w:rPr>
          <w:rFonts w:hint="eastAsia"/>
          <w:lang w:eastAsia="zh-CN"/>
        </w:rPr>
        <w:t>》</w:t>
      </w:r>
      <w:r>
        <w:rPr>
          <w:rFonts w:hint="eastAsia"/>
          <w:lang w:val="en-US" w:eastAsia="zh-CN"/>
        </w:rPr>
        <w:t>执行</w:t>
      </w:r>
      <w:r>
        <w:rPr>
          <w:rFonts w:hint="default" w:ascii="仿宋_GB2312" w:hAnsi="仿宋_GB2312" w:cs="仿宋_GB2312"/>
          <w:color w:val="auto"/>
          <w:sz w:val="32"/>
          <w:szCs w:val="32"/>
          <w:highlight w:val="none"/>
          <w:lang w:val="en-US" w:eastAsia="zh-CN"/>
        </w:rPr>
        <w:t>。</w:t>
      </w:r>
    </w:p>
    <w:p w14:paraId="5AAF147C">
      <w:pPr>
        <w:keepNext w:val="0"/>
        <w:keepLines w:val="0"/>
        <w:pageBreakBefore w:val="0"/>
        <w:kinsoku/>
        <w:overflowPunct/>
        <w:topLinePunct w:val="0"/>
        <w:bidi w:val="0"/>
        <w:snapToGrid/>
        <w:ind w:firstLine="640" w:firstLineChars="200"/>
        <w:textAlignment w:val="auto"/>
        <w:rPr>
          <w:rFonts w:hint="default" w:ascii="仿宋_GB2312" w:hAnsi="仿宋_GB2312" w:cs="仿宋_GB2312"/>
          <w:color w:val="auto"/>
          <w:sz w:val="32"/>
          <w:szCs w:val="32"/>
          <w:highlight w:val="none"/>
          <w:lang w:val="en-US" w:eastAsia="zh-CN"/>
        </w:rPr>
      </w:pPr>
      <w:bookmarkStart w:id="2" w:name="_Toc231839597"/>
      <w:bookmarkStart w:id="3" w:name="_Toc231894806"/>
      <w:bookmarkStart w:id="4" w:name="_Toc231839424"/>
      <w:r>
        <w:rPr>
          <w:rFonts w:hint="eastAsia" w:ascii="仿宋_GB2312" w:hAnsi="仿宋_GB2312" w:cs="仿宋_GB2312"/>
          <w:color w:val="auto"/>
          <w:sz w:val="32"/>
          <w:szCs w:val="32"/>
          <w:highlight w:val="none"/>
          <w:lang w:val="en-US" w:eastAsia="zh-CN"/>
        </w:rPr>
        <w:t>4.4机械化种（移）植</w:t>
      </w:r>
      <w:bookmarkEnd w:id="2"/>
      <w:bookmarkEnd w:id="3"/>
      <w:bookmarkEnd w:id="4"/>
    </w:p>
    <w:p w14:paraId="2E20426F">
      <w:pPr>
        <w:keepNext w:val="0"/>
        <w:keepLines w:val="0"/>
        <w:pageBreakBefore w:val="0"/>
        <w:kinsoku/>
        <w:overflowPunct/>
        <w:topLinePunct w:val="0"/>
        <w:bidi w:val="0"/>
        <w:snapToGrid/>
        <w:ind w:firstLine="640" w:firstLineChars="200"/>
        <w:textAlignment w:val="auto"/>
        <w:rPr>
          <w:rFonts w:hint="default" w:ascii="仿宋_GB2312" w:hAnsi="仿宋_GB2312" w:cs="仿宋_GB2312"/>
          <w:color w:val="auto"/>
          <w:sz w:val="32"/>
          <w:szCs w:val="32"/>
          <w:highlight w:val="none"/>
          <w:lang w:val="en-US" w:eastAsia="zh-CN"/>
        </w:rPr>
      </w:pPr>
      <w:r>
        <w:rPr>
          <w:rFonts w:hint="default" w:ascii="仿宋_GB2312" w:hAnsi="仿宋_GB2312" w:cs="仿宋_GB2312"/>
          <w:color w:val="auto"/>
          <w:sz w:val="32"/>
          <w:szCs w:val="32"/>
          <w:highlight w:val="none"/>
          <w:lang w:val="en-US" w:eastAsia="zh-CN"/>
        </w:rPr>
        <w:t>采用</w:t>
      </w:r>
      <w:r>
        <w:rPr>
          <w:rFonts w:hint="eastAsia" w:ascii="仿宋_GB2312" w:hAnsi="仿宋_GB2312" w:cs="仿宋_GB2312"/>
          <w:color w:val="auto"/>
          <w:sz w:val="32"/>
          <w:szCs w:val="32"/>
          <w:highlight w:val="none"/>
          <w:lang w:val="en-US" w:eastAsia="zh-CN"/>
        </w:rPr>
        <w:t>功率</w:t>
      </w:r>
      <w:r>
        <w:rPr>
          <w:rFonts w:hint="default" w:ascii="仿宋_GB2312" w:hAnsi="仿宋_GB2312" w:cs="仿宋_GB2312"/>
          <w:color w:val="auto"/>
          <w:sz w:val="32"/>
          <w:szCs w:val="32"/>
          <w:highlight w:val="none"/>
          <w:lang w:val="en-US" w:eastAsia="zh-CN"/>
        </w:rPr>
        <w:t>88.3</w:t>
      </w:r>
      <w:r>
        <w:rPr>
          <w:rFonts w:hint="eastAsia" w:ascii="仿宋_GB2312" w:hAnsi="仿宋_GB2312" w:cs="仿宋_GB2312"/>
          <w:color w:val="auto"/>
          <w:sz w:val="32"/>
          <w:szCs w:val="32"/>
          <w:highlight w:val="none"/>
          <w:lang w:val="en-US" w:eastAsia="zh-CN"/>
        </w:rPr>
        <w:t>-</w:t>
      </w:r>
      <w:r>
        <w:rPr>
          <w:rFonts w:hint="default" w:ascii="仿宋_GB2312" w:hAnsi="仿宋_GB2312" w:cs="仿宋_GB2312"/>
          <w:color w:val="auto"/>
          <w:sz w:val="32"/>
          <w:szCs w:val="32"/>
          <w:highlight w:val="none"/>
          <w:lang w:val="en-US" w:eastAsia="zh-CN"/>
        </w:rPr>
        <w:t>103.0</w:t>
      </w:r>
      <w:r>
        <w:rPr>
          <w:rFonts w:hint="eastAsia" w:ascii="仿宋_GB2312" w:hAnsi="仿宋_GB2312" w:cs="仿宋_GB2312"/>
          <w:color w:val="auto"/>
          <w:sz w:val="32"/>
          <w:szCs w:val="32"/>
          <w:highlight w:val="none"/>
          <w:lang w:val="en-US" w:eastAsia="zh-CN"/>
        </w:rPr>
        <w:t>kw的</w:t>
      </w:r>
      <w:r>
        <w:rPr>
          <w:rFonts w:hint="default" w:ascii="仿宋_GB2312" w:hAnsi="仿宋_GB2312" w:cs="仿宋_GB2312"/>
          <w:color w:val="auto"/>
          <w:sz w:val="32"/>
          <w:szCs w:val="32"/>
          <w:highlight w:val="none"/>
          <w:lang w:val="en-US" w:eastAsia="zh-CN"/>
        </w:rPr>
        <w:t>拖拉机悬挂精量播种机，一次性完成播种（苗）、覆土、镇压、盖膜、铺设滴灌带</w:t>
      </w:r>
      <w:r>
        <w:rPr>
          <w:rFonts w:hint="eastAsia" w:ascii="仿宋_GB2312" w:hAnsi="仿宋_GB2312" w:cs="仿宋_GB2312"/>
          <w:color w:val="auto"/>
          <w:sz w:val="32"/>
          <w:szCs w:val="32"/>
          <w:highlight w:val="none"/>
          <w:lang w:val="en-US" w:eastAsia="zh-CN"/>
        </w:rPr>
        <w:t>的操作</w:t>
      </w:r>
      <w:r>
        <w:rPr>
          <w:rFonts w:hint="default" w:ascii="仿宋_GB2312" w:hAnsi="仿宋_GB2312" w:cs="仿宋_GB2312"/>
          <w:color w:val="auto"/>
          <w:sz w:val="32"/>
          <w:szCs w:val="32"/>
          <w:highlight w:val="none"/>
          <w:lang w:val="en-US" w:eastAsia="zh-CN"/>
        </w:rPr>
        <w:t>，通过宽窄行布局为机械行走和蔗苗生长留出空间，并依据种植方式控制</w:t>
      </w:r>
      <w:r>
        <w:rPr>
          <w:rFonts w:hint="eastAsia" w:ascii="仿宋_GB2312" w:hAnsi="仿宋_GB2312" w:cs="仿宋_GB2312"/>
          <w:color w:val="auto"/>
          <w:sz w:val="32"/>
          <w:szCs w:val="32"/>
          <w:highlight w:val="none"/>
          <w:lang w:val="en-US" w:eastAsia="zh-CN"/>
        </w:rPr>
        <w:t>种植</w:t>
      </w:r>
      <w:r>
        <w:rPr>
          <w:rFonts w:hint="default" w:ascii="仿宋_GB2312" w:hAnsi="仿宋_GB2312" w:cs="仿宋_GB2312"/>
          <w:color w:val="auto"/>
          <w:sz w:val="32"/>
          <w:szCs w:val="32"/>
          <w:highlight w:val="none"/>
          <w:lang w:val="en-US" w:eastAsia="zh-CN"/>
        </w:rPr>
        <w:t>密度（单芽种茎每亩2500</w:t>
      </w:r>
      <w:r>
        <w:rPr>
          <w:rFonts w:hint="eastAsia" w:ascii="仿宋_GB2312" w:hAnsi="仿宋_GB2312" w:cs="仿宋_GB2312"/>
          <w:color w:val="auto"/>
          <w:sz w:val="32"/>
          <w:szCs w:val="32"/>
          <w:highlight w:val="none"/>
          <w:lang w:val="en-US" w:eastAsia="zh-CN"/>
        </w:rPr>
        <w:t>-</w:t>
      </w:r>
      <w:r>
        <w:rPr>
          <w:rFonts w:hint="default" w:ascii="仿宋_GB2312" w:hAnsi="仿宋_GB2312" w:cs="仿宋_GB2312"/>
          <w:color w:val="auto"/>
          <w:sz w:val="32"/>
          <w:szCs w:val="32"/>
          <w:highlight w:val="none"/>
          <w:lang w:val="en-US" w:eastAsia="zh-CN"/>
        </w:rPr>
        <w:t>3500芽、每米7</w:t>
      </w:r>
      <w:r>
        <w:rPr>
          <w:rFonts w:hint="eastAsia" w:ascii="仿宋_GB2312" w:hAnsi="仿宋_GB2312" w:cs="仿宋_GB2312"/>
          <w:color w:val="auto"/>
          <w:sz w:val="32"/>
          <w:szCs w:val="32"/>
          <w:highlight w:val="none"/>
          <w:lang w:val="en-US" w:eastAsia="zh-CN"/>
        </w:rPr>
        <w:t>-</w:t>
      </w:r>
      <w:r>
        <w:rPr>
          <w:rFonts w:hint="default" w:ascii="仿宋_GB2312" w:hAnsi="仿宋_GB2312" w:cs="仿宋_GB2312"/>
          <w:color w:val="auto"/>
          <w:sz w:val="32"/>
          <w:szCs w:val="32"/>
          <w:highlight w:val="none"/>
          <w:lang w:val="en-US" w:eastAsia="zh-CN"/>
        </w:rPr>
        <w:t>10芽，单芽种苗每亩1200</w:t>
      </w:r>
      <w:r>
        <w:rPr>
          <w:rFonts w:hint="eastAsia" w:ascii="仿宋_GB2312" w:hAnsi="仿宋_GB2312" w:cs="仿宋_GB2312"/>
          <w:color w:val="auto"/>
          <w:sz w:val="32"/>
          <w:szCs w:val="32"/>
          <w:highlight w:val="none"/>
          <w:lang w:val="en-US" w:eastAsia="zh-CN"/>
        </w:rPr>
        <w:t>-</w:t>
      </w:r>
      <w:r>
        <w:rPr>
          <w:rFonts w:hint="default" w:ascii="仿宋_GB2312" w:hAnsi="仿宋_GB2312" w:cs="仿宋_GB2312"/>
          <w:color w:val="auto"/>
          <w:sz w:val="32"/>
          <w:szCs w:val="32"/>
          <w:highlight w:val="none"/>
          <w:lang w:val="en-US" w:eastAsia="zh-CN"/>
        </w:rPr>
        <w:t>1500株、株距45</w:t>
      </w:r>
      <w:r>
        <w:rPr>
          <w:rFonts w:hint="eastAsia" w:ascii="仿宋_GB2312" w:hAnsi="仿宋_GB2312" w:cs="仿宋_GB2312"/>
          <w:color w:val="auto"/>
          <w:sz w:val="32"/>
          <w:szCs w:val="32"/>
          <w:highlight w:val="none"/>
          <w:lang w:val="en-US" w:eastAsia="zh-CN"/>
        </w:rPr>
        <w:t>-</w:t>
      </w:r>
      <w:r>
        <w:rPr>
          <w:rFonts w:hint="default" w:ascii="仿宋_GB2312" w:hAnsi="仿宋_GB2312" w:cs="仿宋_GB2312"/>
          <w:color w:val="auto"/>
          <w:sz w:val="32"/>
          <w:szCs w:val="32"/>
          <w:highlight w:val="none"/>
          <w:lang w:val="en-US" w:eastAsia="zh-CN"/>
        </w:rPr>
        <w:t>65 cm），深种25</w:t>
      </w:r>
      <w:r>
        <w:rPr>
          <w:rFonts w:hint="eastAsia" w:ascii="仿宋_GB2312" w:hAnsi="仿宋_GB2312" w:cs="仿宋_GB2312"/>
          <w:color w:val="auto"/>
          <w:sz w:val="32"/>
          <w:szCs w:val="32"/>
          <w:highlight w:val="none"/>
          <w:lang w:val="en-US" w:eastAsia="zh-CN"/>
        </w:rPr>
        <w:t>-</w:t>
      </w:r>
      <w:r>
        <w:rPr>
          <w:rFonts w:hint="default" w:ascii="仿宋_GB2312" w:hAnsi="仿宋_GB2312" w:cs="仿宋_GB2312"/>
          <w:color w:val="auto"/>
          <w:sz w:val="32"/>
          <w:szCs w:val="32"/>
          <w:highlight w:val="none"/>
          <w:lang w:val="en-US" w:eastAsia="zh-CN"/>
        </w:rPr>
        <w:t>35 cm、单芽种茎覆土5</w:t>
      </w:r>
      <w:r>
        <w:rPr>
          <w:rFonts w:hint="eastAsia" w:ascii="仿宋_GB2312" w:hAnsi="仿宋_GB2312" w:cs="仿宋_GB2312"/>
          <w:color w:val="auto"/>
          <w:sz w:val="32"/>
          <w:szCs w:val="32"/>
          <w:highlight w:val="none"/>
          <w:lang w:val="en-US" w:eastAsia="zh-CN"/>
        </w:rPr>
        <w:t>-</w:t>
      </w:r>
      <w:r>
        <w:rPr>
          <w:rFonts w:hint="default" w:ascii="仿宋_GB2312" w:hAnsi="仿宋_GB2312" w:cs="仿宋_GB2312"/>
          <w:color w:val="auto"/>
          <w:sz w:val="32"/>
          <w:szCs w:val="32"/>
          <w:highlight w:val="none"/>
          <w:lang w:val="en-US" w:eastAsia="zh-CN"/>
        </w:rPr>
        <w:t>8 cm、单芽种苗覆土平齐或略高于营养土表面，再配合无色透明地膜分窄行覆盖，实现高效率、低损伤、水肥一体的</w:t>
      </w:r>
      <w:r>
        <w:rPr>
          <w:rFonts w:hint="eastAsia" w:ascii="仿宋_GB2312" w:hAnsi="仿宋_GB2312" w:cs="仿宋_GB2312"/>
          <w:color w:val="auto"/>
          <w:sz w:val="32"/>
          <w:szCs w:val="32"/>
          <w:highlight w:val="none"/>
          <w:lang w:val="en-US" w:eastAsia="zh-CN"/>
        </w:rPr>
        <w:t>高效</w:t>
      </w:r>
      <w:r>
        <w:rPr>
          <w:rFonts w:hint="default" w:ascii="仿宋_GB2312" w:hAnsi="仿宋_GB2312" w:cs="仿宋_GB2312"/>
          <w:color w:val="auto"/>
          <w:sz w:val="32"/>
          <w:szCs w:val="32"/>
          <w:highlight w:val="none"/>
          <w:lang w:val="en-US" w:eastAsia="zh-CN"/>
        </w:rPr>
        <w:t>种植。</w:t>
      </w:r>
    </w:p>
    <w:p w14:paraId="3147ED58">
      <w:pPr>
        <w:keepNext w:val="0"/>
        <w:keepLines w:val="0"/>
        <w:pageBreakBefore w:val="0"/>
        <w:kinsoku/>
        <w:overflowPunct/>
        <w:topLinePunct w:val="0"/>
        <w:bidi w:val="0"/>
        <w:snapToGrid/>
        <w:ind w:firstLine="640" w:firstLineChars="200"/>
        <w:textAlignment w:val="auto"/>
        <w:rPr>
          <w:rFonts w:hint="eastAsia" w:ascii="仿宋_GB2312" w:hAnsi="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zh-CN"/>
        </w:rPr>
        <w:t>目前该技术在</w:t>
      </w:r>
      <w:r>
        <w:rPr>
          <w:rFonts w:hint="eastAsia" w:ascii="仿宋_GB2312" w:hAnsi="仿宋_GB2312" w:cs="仿宋_GB2312"/>
          <w:color w:val="auto"/>
          <w:sz w:val="32"/>
          <w:szCs w:val="32"/>
          <w:highlight w:val="none"/>
          <w:lang w:val="en-US" w:eastAsia="zh-CN"/>
        </w:rPr>
        <w:t>广西</w:t>
      </w:r>
      <w:r>
        <w:rPr>
          <w:rFonts w:hint="eastAsia" w:ascii="仿宋_GB2312" w:hAnsi="仿宋_GB2312" w:eastAsia="仿宋_GB2312" w:cs="仿宋_GB2312"/>
          <w:color w:val="auto"/>
          <w:sz w:val="32"/>
          <w:szCs w:val="32"/>
          <w:highlight w:val="none"/>
          <w:lang w:val="zh-CN"/>
        </w:rPr>
        <w:t>的主产蔗区的种植公司及种植农户均有推广应用，标准起草单位广西益兴现代农业科技发展有限公司、武宣县博盛农机专业合作社均有大面积的应用。该技术已累计推广应用约10万亩以上，取得较好的增产增收的效果</w:t>
      </w:r>
      <w:r>
        <w:rPr>
          <w:rFonts w:hint="eastAsia" w:ascii="仿宋_GB2312" w:hAnsi="仿宋_GB2312" w:cs="仿宋_GB2312"/>
          <w:color w:val="auto"/>
          <w:sz w:val="32"/>
          <w:szCs w:val="32"/>
          <w:highlight w:val="none"/>
          <w:lang w:val="zh-CN"/>
        </w:rPr>
        <w:t>，</w:t>
      </w:r>
      <w:r>
        <w:rPr>
          <w:rFonts w:hint="eastAsia" w:ascii="仿宋_GB2312" w:hAnsi="仿宋_GB2312" w:cs="仿宋_GB2312"/>
          <w:color w:val="auto"/>
          <w:sz w:val="32"/>
          <w:szCs w:val="32"/>
          <w:highlight w:val="none"/>
          <w:lang w:val="en-US" w:eastAsia="zh-CN"/>
        </w:rPr>
        <w:t>具体见表2。</w:t>
      </w:r>
    </w:p>
    <w:p w14:paraId="5232A56F">
      <w:pPr>
        <w:keepNext w:val="0"/>
        <w:keepLines w:val="0"/>
        <w:pageBreakBefore w:val="0"/>
        <w:kinsoku/>
        <w:overflowPunct/>
        <w:topLinePunct w:val="0"/>
        <w:bidi w:val="0"/>
        <w:snapToGrid/>
        <w:ind w:left="0" w:leftChars="0" w:firstLine="0" w:firstLineChars="0"/>
        <w:jc w:val="center"/>
        <w:textAlignment w:val="auto"/>
        <w:rPr>
          <w:rFonts w:hint="default" w:ascii="仿宋_GB2312" w:hAnsi="仿宋_GB2312" w:cs="仿宋_GB2312"/>
          <w:color w:val="auto"/>
          <w:sz w:val="28"/>
          <w:szCs w:val="28"/>
          <w:highlight w:val="none"/>
          <w:lang w:val="en-US" w:eastAsia="zh-CN"/>
        </w:rPr>
      </w:pPr>
      <w:r>
        <w:rPr>
          <w:rFonts w:hint="eastAsia" w:ascii="仿宋_GB2312" w:hAnsi="仿宋_GB2312" w:cs="仿宋_GB2312"/>
          <w:color w:val="auto"/>
          <w:sz w:val="28"/>
          <w:szCs w:val="28"/>
          <w:highlight w:val="none"/>
          <w:lang w:val="en-US" w:eastAsia="zh-CN"/>
        </w:rPr>
        <w:t>表2单芽种茎（苗）种植效果</w:t>
      </w:r>
    </w:p>
    <w:tbl>
      <w:tblPr>
        <w:tblStyle w:val="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17"/>
        <w:gridCol w:w="1238"/>
        <w:gridCol w:w="1126"/>
        <w:gridCol w:w="1581"/>
        <w:gridCol w:w="1135"/>
        <w:gridCol w:w="1135"/>
        <w:gridCol w:w="1135"/>
        <w:gridCol w:w="1107"/>
      </w:tblGrid>
      <w:tr w14:paraId="7D268B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391" w:type="pct"/>
            <w:noWrap w:val="0"/>
            <w:vAlign w:val="center"/>
          </w:tcPr>
          <w:p w14:paraId="14D9A278">
            <w:pPr>
              <w:pStyle w:val="11"/>
              <w:ind w:firstLine="0" w:firstLineChars="0"/>
              <w:jc w:val="center"/>
              <w:rPr>
                <w:rFonts w:hint="eastAsia" w:ascii="仿宋_GB2312" w:hAnsi="仿宋_GB2312" w:eastAsia="仿宋_GB2312" w:cs="仿宋_GB2312"/>
                <w:b/>
                <w:bCs/>
                <w:sz w:val="24"/>
                <w:szCs w:val="24"/>
              </w:rPr>
            </w:pPr>
            <w:r>
              <w:rPr>
                <w:rFonts w:hint="eastAsia" w:ascii="仿宋_GB2312" w:hAnsi="仿宋_GB2312" w:eastAsia="仿宋_GB2312" w:cs="仿宋_GB2312"/>
                <w:b/>
                <w:bCs/>
                <w:sz w:val="24"/>
                <w:szCs w:val="24"/>
              </w:rPr>
              <w:t>类型</w:t>
            </w:r>
          </w:p>
        </w:tc>
        <w:tc>
          <w:tcPr>
            <w:tcW w:w="674" w:type="pct"/>
            <w:noWrap w:val="0"/>
            <w:vAlign w:val="center"/>
          </w:tcPr>
          <w:p w14:paraId="17394225">
            <w:pPr>
              <w:pStyle w:val="11"/>
              <w:ind w:firstLine="0" w:firstLineChars="0"/>
              <w:jc w:val="center"/>
              <w:rPr>
                <w:rFonts w:hint="eastAsia" w:ascii="仿宋_GB2312" w:hAnsi="仿宋_GB2312" w:eastAsia="仿宋_GB2312" w:cs="仿宋_GB2312"/>
                <w:b/>
                <w:bCs/>
                <w:sz w:val="24"/>
                <w:szCs w:val="24"/>
                <w:lang w:val="en-US" w:eastAsia="zh-CN"/>
              </w:rPr>
            </w:pPr>
            <w:r>
              <w:rPr>
                <w:rFonts w:hint="eastAsia" w:ascii="仿宋_GB2312" w:hAnsi="仿宋_GB2312" w:eastAsia="仿宋_GB2312" w:cs="仿宋_GB2312"/>
                <w:b/>
                <w:bCs/>
                <w:sz w:val="24"/>
                <w:szCs w:val="24"/>
              </w:rPr>
              <w:t>项目</w:t>
            </w:r>
            <w:r>
              <w:rPr>
                <w:rFonts w:hint="eastAsia" w:ascii="仿宋_GB2312" w:hAnsi="仿宋_GB2312" w:eastAsia="仿宋_GB2312" w:cs="仿宋_GB2312"/>
                <w:b/>
                <w:bCs/>
                <w:sz w:val="24"/>
                <w:szCs w:val="24"/>
                <w:lang w:val="en-US" w:eastAsia="zh-CN"/>
              </w:rPr>
              <w:t>地点</w:t>
            </w:r>
          </w:p>
        </w:tc>
        <w:tc>
          <w:tcPr>
            <w:tcW w:w="613" w:type="pct"/>
            <w:noWrap w:val="0"/>
            <w:vAlign w:val="center"/>
          </w:tcPr>
          <w:p w14:paraId="23468202">
            <w:pPr>
              <w:pStyle w:val="11"/>
              <w:ind w:firstLine="0" w:firstLineChars="0"/>
              <w:jc w:val="center"/>
              <w:rPr>
                <w:rFonts w:hint="eastAsia" w:ascii="仿宋_GB2312" w:hAnsi="仿宋_GB2312" w:eastAsia="仿宋_GB2312" w:cs="仿宋_GB2312"/>
                <w:b/>
                <w:bCs/>
                <w:sz w:val="24"/>
                <w:szCs w:val="24"/>
              </w:rPr>
            </w:pPr>
            <w:r>
              <w:rPr>
                <w:rFonts w:hint="eastAsia" w:ascii="仿宋_GB2312" w:hAnsi="仿宋_GB2312" w:eastAsia="仿宋_GB2312" w:cs="仿宋_GB2312"/>
                <w:b/>
                <w:bCs/>
                <w:sz w:val="24"/>
                <w:szCs w:val="24"/>
              </w:rPr>
              <w:t>面积/亩</w:t>
            </w:r>
          </w:p>
        </w:tc>
        <w:tc>
          <w:tcPr>
            <w:tcW w:w="861" w:type="pct"/>
            <w:noWrap w:val="0"/>
            <w:vAlign w:val="center"/>
          </w:tcPr>
          <w:p w14:paraId="53D73EA5">
            <w:pPr>
              <w:pStyle w:val="11"/>
              <w:ind w:firstLine="0" w:firstLineChars="0"/>
              <w:jc w:val="center"/>
              <w:rPr>
                <w:rFonts w:hint="eastAsia" w:ascii="仿宋_GB2312" w:hAnsi="仿宋_GB2312" w:eastAsia="仿宋_GB2312" w:cs="仿宋_GB2312"/>
                <w:b/>
                <w:bCs/>
                <w:sz w:val="24"/>
                <w:szCs w:val="24"/>
              </w:rPr>
            </w:pPr>
            <w:r>
              <w:rPr>
                <w:rFonts w:hint="eastAsia" w:ascii="仿宋_GB2312" w:hAnsi="仿宋_GB2312" w:eastAsia="仿宋_GB2312" w:cs="仿宋_GB2312"/>
                <w:b/>
                <w:bCs/>
                <w:sz w:val="24"/>
                <w:szCs w:val="24"/>
              </w:rPr>
              <w:t>每亩用种量</w:t>
            </w:r>
          </w:p>
          <w:p w14:paraId="405F5A20">
            <w:pPr>
              <w:pStyle w:val="11"/>
              <w:ind w:firstLine="0" w:firstLineChars="0"/>
              <w:jc w:val="center"/>
              <w:rPr>
                <w:rFonts w:hint="eastAsia" w:ascii="仿宋_GB2312" w:hAnsi="仿宋_GB2312" w:eastAsia="仿宋_GB2312" w:cs="仿宋_GB2312"/>
                <w:b/>
                <w:bCs/>
                <w:sz w:val="24"/>
                <w:szCs w:val="24"/>
              </w:rPr>
            </w:pPr>
            <w:r>
              <w:rPr>
                <w:rFonts w:hint="eastAsia" w:ascii="仿宋_GB2312" w:hAnsi="仿宋_GB2312" w:eastAsia="仿宋_GB2312" w:cs="仿宋_GB2312"/>
                <w:b/>
                <w:bCs/>
                <w:sz w:val="24"/>
                <w:szCs w:val="24"/>
              </w:rPr>
              <w:t>/吨</w:t>
            </w:r>
          </w:p>
        </w:tc>
        <w:tc>
          <w:tcPr>
            <w:tcW w:w="618" w:type="pct"/>
            <w:noWrap w:val="0"/>
            <w:vAlign w:val="center"/>
          </w:tcPr>
          <w:p w14:paraId="3C292B19">
            <w:pPr>
              <w:pStyle w:val="11"/>
              <w:ind w:firstLine="0" w:firstLineChars="0"/>
              <w:jc w:val="center"/>
              <w:rPr>
                <w:rFonts w:hint="eastAsia" w:ascii="仿宋_GB2312" w:hAnsi="仿宋_GB2312" w:eastAsia="仿宋_GB2312" w:cs="仿宋_GB2312"/>
                <w:b/>
                <w:bCs/>
                <w:sz w:val="24"/>
                <w:szCs w:val="24"/>
              </w:rPr>
            </w:pPr>
            <w:r>
              <w:rPr>
                <w:rFonts w:hint="eastAsia" w:ascii="仿宋_GB2312" w:hAnsi="仿宋_GB2312" w:eastAsia="仿宋_GB2312" w:cs="仿宋_GB2312"/>
                <w:b/>
                <w:bCs/>
                <w:sz w:val="24"/>
                <w:szCs w:val="24"/>
              </w:rPr>
              <w:t>成活率/%</w:t>
            </w:r>
          </w:p>
        </w:tc>
        <w:tc>
          <w:tcPr>
            <w:tcW w:w="618" w:type="pct"/>
            <w:noWrap w:val="0"/>
            <w:vAlign w:val="center"/>
          </w:tcPr>
          <w:p w14:paraId="4F323702">
            <w:pPr>
              <w:pStyle w:val="11"/>
              <w:ind w:firstLine="0" w:firstLineChars="0"/>
              <w:jc w:val="center"/>
              <w:rPr>
                <w:rFonts w:hint="eastAsia" w:ascii="仿宋_GB2312" w:hAnsi="仿宋_GB2312" w:eastAsia="仿宋_GB2312" w:cs="仿宋_GB2312"/>
                <w:b/>
                <w:bCs/>
                <w:sz w:val="24"/>
                <w:szCs w:val="24"/>
              </w:rPr>
            </w:pPr>
            <w:r>
              <w:rPr>
                <w:rFonts w:hint="eastAsia" w:ascii="仿宋_GB2312" w:hAnsi="仿宋_GB2312" w:eastAsia="仿宋_GB2312" w:cs="仿宋_GB2312"/>
                <w:b/>
                <w:bCs/>
                <w:sz w:val="24"/>
                <w:szCs w:val="24"/>
              </w:rPr>
              <w:t>种苗成本/元</w:t>
            </w:r>
          </w:p>
        </w:tc>
        <w:tc>
          <w:tcPr>
            <w:tcW w:w="618" w:type="pct"/>
            <w:noWrap w:val="0"/>
            <w:vAlign w:val="center"/>
          </w:tcPr>
          <w:p w14:paraId="71294E31">
            <w:pPr>
              <w:pStyle w:val="11"/>
              <w:ind w:firstLine="0" w:firstLineChars="0"/>
              <w:jc w:val="center"/>
              <w:rPr>
                <w:rFonts w:hint="eastAsia" w:ascii="仿宋_GB2312" w:hAnsi="仿宋_GB2312" w:eastAsia="仿宋_GB2312" w:cs="仿宋_GB2312"/>
                <w:b/>
                <w:bCs/>
                <w:sz w:val="24"/>
                <w:szCs w:val="24"/>
              </w:rPr>
            </w:pPr>
            <w:r>
              <w:rPr>
                <w:rFonts w:hint="eastAsia" w:ascii="仿宋_GB2312" w:hAnsi="仿宋_GB2312" w:eastAsia="仿宋_GB2312" w:cs="仿宋_GB2312"/>
                <w:b/>
                <w:bCs/>
                <w:sz w:val="24"/>
                <w:szCs w:val="24"/>
              </w:rPr>
              <w:t>种植成本/元</w:t>
            </w:r>
          </w:p>
        </w:tc>
        <w:tc>
          <w:tcPr>
            <w:tcW w:w="603" w:type="pct"/>
            <w:noWrap w:val="0"/>
            <w:vAlign w:val="center"/>
          </w:tcPr>
          <w:p w14:paraId="6B81B83C">
            <w:pPr>
              <w:pStyle w:val="11"/>
              <w:ind w:firstLine="0" w:firstLineChars="0"/>
              <w:jc w:val="center"/>
              <w:rPr>
                <w:rFonts w:hint="eastAsia" w:ascii="仿宋_GB2312" w:hAnsi="仿宋_GB2312" w:eastAsia="仿宋_GB2312" w:cs="仿宋_GB2312"/>
                <w:b/>
                <w:bCs/>
                <w:sz w:val="24"/>
                <w:szCs w:val="24"/>
              </w:rPr>
            </w:pPr>
            <w:r>
              <w:rPr>
                <w:rFonts w:hint="eastAsia" w:ascii="仿宋_GB2312" w:hAnsi="仿宋_GB2312" w:eastAsia="仿宋_GB2312" w:cs="仿宋_GB2312"/>
                <w:b/>
                <w:bCs/>
                <w:sz w:val="24"/>
                <w:szCs w:val="24"/>
              </w:rPr>
              <w:t>亩产/吨</w:t>
            </w:r>
          </w:p>
        </w:tc>
      </w:tr>
      <w:tr w14:paraId="0CC0B0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91" w:type="pct"/>
            <w:vMerge w:val="restart"/>
            <w:noWrap w:val="0"/>
            <w:vAlign w:val="center"/>
          </w:tcPr>
          <w:p w14:paraId="0223D847">
            <w:pPr>
              <w:pStyle w:val="11"/>
              <w:ind w:firstLine="0" w:firstLineChars="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单芽种茎</w:t>
            </w:r>
          </w:p>
        </w:tc>
        <w:tc>
          <w:tcPr>
            <w:tcW w:w="674" w:type="pct"/>
            <w:noWrap w:val="0"/>
            <w:vAlign w:val="center"/>
          </w:tcPr>
          <w:p w14:paraId="55DA0591">
            <w:pPr>
              <w:pStyle w:val="11"/>
              <w:ind w:firstLine="0" w:firstLineChars="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隆安</w:t>
            </w:r>
          </w:p>
        </w:tc>
        <w:tc>
          <w:tcPr>
            <w:tcW w:w="613" w:type="pct"/>
            <w:noWrap w:val="0"/>
            <w:vAlign w:val="center"/>
          </w:tcPr>
          <w:p w14:paraId="42E72BC4">
            <w:pPr>
              <w:pStyle w:val="11"/>
              <w:ind w:firstLine="0" w:firstLineChars="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100</w:t>
            </w:r>
          </w:p>
        </w:tc>
        <w:tc>
          <w:tcPr>
            <w:tcW w:w="861" w:type="pct"/>
            <w:noWrap w:val="0"/>
            <w:vAlign w:val="center"/>
          </w:tcPr>
          <w:p w14:paraId="6797F814">
            <w:pPr>
              <w:pStyle w:val="11"/>
              <w:ind w:firstLine="0" w:firstLineChars="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2500</w:t>
            </w:r>
          </w:p>
        </w:tc>
        <w:tc>
          <w:tcPr>
            <w:tcW w:w="618" w:type="pct"/>
            <w:noWrap w:val="0"/>
            <w:vAlign w:val="center"/>
          </w:tcPr>
          <w:p w14:paraId="5894EE27">
            <w:pPr>
              <w:pStyle w:val="11"/>
              <w:ind w:firstLine="0" w:firstLineChars="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95</w:t>
            </w:r>
          </w:p>
        </w:tc>
        <w:tc>
          <w:tcPr>
            <w:tcW w:w="618" w:type="pct"/>
            <w:noWrap w:val="0"/>
            <w:vAlign w:val="center"/>
          </w:tcPr>
          <w:p w14:paraId="0A5E4A31">
            <w:pPr>
              <w:pStyle w:val="11"/>
              <w:ind w:firstLine="0" w:firstLineChars="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200</w:t>
            </w:r>
          </w:p>
        </w:tc>
        <w:tc>
          <w:tcPr>
            <w:tcW w:w="618" w:type="pct"/>
            <w:noWrap w:val="0"/>
            <w:vAlign w:val="center"/>
          </w:tcPr>
          <w:p w14:paraId="14C201AF">
            <w:pPr>
              <w:pStyle w:val="11"/>
              <w:ind w:firstLine="0" w:firstLineChars="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40</w:t>
            </w:r>
          </w:p>
        </w:tc>
        <w:tc>
          <w:tcPr>
            <w:tcW w:w="603" w:type="pct"/>
            <w:noWrap w:val="0"/>
            <w:vAlign w:val="center"/>
          </w:tcPr>
          <w:p w14:paraId="66E7D6D3">
            <w:pPr>
              <w:pStyle w:val="11"/>
              <w:ind w:firstLine="0" w:firstLineChars="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6.5</w:t>
            </w:r>
          </w:p>
        </w:tc>
      </w:tr>
      <w:tr w14:paraId="49AA97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91" w:type="pct"/>
            <w:vMerge w:val="continue"/>
            <w:noWrap w:val="0"/>
            <w:vAlign w:val="center"/>
          </w:tcPr>
          <w:p w14:paraId="78601F78">
            <w:pPr>
              <w:pStyle w:val="11"/>
              <w:ind w:firstLine="0" w:firstLineChars="0"/>
              <w:jc w:val="center"/>
              <w:rPr>
                <w:rFonts w:hint="eastAsia" w:ascii="仿宋_GB2312" w:hAnsi="仿宋_GB2312" w:eastAsia="仿宋_GB2312" w:cs="仿宋_GB2312"/>
                <w:sz w:val="24"/>
                <w:szCs w:val="24"/>
              </w:rPr>
            </w:pPr>
          </w:p>
        </w:tc>
        <w:tc>
          <w:tcPr>
            <w:tcW w:w="674" w:type="pct"/>
            <w:noWrap w:val="0"/>
            <w:vAlign w:val="center"/>
          </w:tcPr>
          <w:p w14:paraId="71D765B0">
            <w:pPr>
              <w:pStyle w:val="11"/>
              <w:ind w:firstLine="0" w:firstLineChars="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武鸣</w:t>
            </w:r>
          </w:p>
        </w:tc>
        <w:tc>
          <w:tcPr>
            <w:tcW w:w="613" w:type="pct"/>
            <w:noWrap w:val="0"/>
            <w:vAlign w:val="center"/>
          </w:tcPr>
          <w:p w14:paraId="4D9F6A68">
            <w:pPr>
              <w:pStyle w:val="11"/>
              <w:ind w:firstLine="0" w:firstLineChars="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80</w:t>
            </w:r>
          </w:p>
        </w:tc>
        <w:tc>
          <w:tcPr>
            <w:tcW w:w="861" w:type="pct"/>
            <w:noWrap w:val="0"/>
            <w:vAlign w:val="center"/>
          </w:tcPr>
          <w:p w14:paraId="190E8D92">
            <w:pPr>
              <w:pStyle w:val="11"/>
              <w:ind w:firstLine="0" w:firstLineChars="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3000</w:t>
            </w:r>
          </w:p>
        </w:tc>
        <w:tc>
          <w:tcPr>
            <w:tcW w:w="618" w:type="pct"/>
            <w:noWrap w:val="0"/>
            <w:vAlign w:val="top"/>
          </w:tcPr>
          <w:p w14:paraId="15CDBE4F">
            <w:pPr>
              <w:pStyle w:val="11"/>
              <w:ind w:firstLine="0" w:firstLineChars="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90</w:t>
            </w:r>
          </w:p>
        </w:tc>
        <w:tc>
          <w:tcPr>
            <w:tcW w:w="618" w:type="pct"/>
            <w:noWrap w:val="0"/>
            <w:vAlign w:val="center"/>
          </w:tcPr>
          <w:p w14:paraId="70A10D2A">
            <w:pPr>
              <w:pStyle w:val="11"/>
              <w:ind w:firstLine="0" w:firstLineChars="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240</w:t>
            </w:r>
          </w:p>
        </w:tc>
        <w:tc>
          <w:tcPr>
            <w:tcW w:w="618" w:type="pct"/>
            <w:noWrap w:val="0"/>
            <w:vAlign w:val="center"/>
          </w:tcPr>
          <w:p w14:paraId="31F4A42F">
            <w:pPr>
              <w:pStyle w:val="11"/>
              <w:ind w:firstLine="0" w:firstLineChars="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40</w:t>
            </w:r>
          </w:p>
        </w:tc>
        <w:tc>
          <w:tcPr>
            <w:tcW w:w="603" w:type="pct"/>
            <w:noWrap w:val="0"/>
            <w:vAlign w:val="center"/>
          </w:tcPr>
          <w:p w14:paraId="66750027">
            <w:pPr>
              <w:pStyle w:val="11"/>
              <w:ind w:firstLine="0" w:firstLineChars="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6.9</w:t>
            </w:r>
          </w:p>
        </w:tc>
      </w:tr>
      <w:tr w14:paraId="113284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91" w:type="pct"/>
            <w:vMerge w:val="continue"/>
            <w:noWrap w:val="0"/>
            <w:vAlign w:val="center"/>
          </w:tcPr>
          <w:p w14:paraId="42604AD3">
            <w:pPr>
              <w:pStyle w:val="11"/>
              <w:ind w:firstLine="0" w:firstLineChars="0"/>
              <w:jc w:val="center"/>
              <w:rPr>
                <w:rFonts w:hint="eastAsia" w:ascii="仿宋_GB2312" w:hAnsi="仿宋_GB2312" w:eastAsia="仿宋_GB2312" w:cs="仿宋_GB2312"/>
                <w:sz w:val="24"/>
                <w:szCs w:val="24"/>
              </w:rPr>
            </w:pPr>
          </w:p>
        </w:tc>
        <w:tc>
          <w:tcPr>
            <w:tcW w:w="674" w:type="pct"/>
            <w:noWrap w:val="0"/>
            <w:vAlign w:val="center"/>
          </w:tcPr>
          <w:p w14:paraId="0E42FE00">
            <w:pPr>
              <w:pStyle w:val="11"/>
              <w:ind w:firstLine="0" w:firstLineChars="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扶绥</w:t>
            </w:r>
          </w:p>
        </w:tc>
        <w:tc>
          <w:tcPr>
            <w:tcW w:w="613" w:type="pct"/>
            <w:noWrap w:val="0"/>
            <w:vAlign w:val="center"/>
          </w:tcPr>
          <w:p w14:paraId="5B0924B9">
            <w:pPr>
              <w:pStyle w:val="11"/>
              <w:ind w:firstLine="0" w:firstLineChars="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50</w:t>
            </w:r>
          </w:p>
        </w:tc>
        <w:tc>
          <w:tcPr>
            <w:tcW w:w="861" w:type="pct"/>
            <w:noWrap w:val="0"/>
            <w:vAlign w:val="center"/>
          </w:tcPr>
          <w:p w14:paraId="25D72663">
            <w:pPr>
              <w:pStyle w:val="11"/>
              <w:ind w:firstLine="0" w:firstLineChars="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3000</w:t>
            </w:r>
          </w:p>
        </w:tc>
        <w:tc>
          <w:tcPr>
            <w:tcW w:w="618" w:type="pct"/>
            <w:noWrap w:val="0"/>
            <w:vAlign w:val="top"/>
          </w:tcPr>
          <w:p w14:paraId="58EAC69A">
            <w:pPr>
              <w:pStyle w:val="11"/>
              <w:ind w:firstLine="0" w:firstLineChars="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93</w:t>
            </w:r>
          </w:p>
        </w:tc>
        <w:tc>
          <w:tcPr>
            <w:tcW w:w="618" w:type="pct"/>
            <w:noWrap w:val="0"/>
            <w:vAlign w:val="center"/>
          </w:tcPr>
          <w:p w14:paraId="65966070">
            <w:pPr>
              <w:pStyle w:val="11"/>
              <w:ind w:firstLine="0" w:firstLineChars="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240</w:t>
            </w:r>
          </w:p>
        </w:tc>
        <w:tc>
          <w:tcPr>
            <w:tcW w:w="618" w:type="pct"/>
            <w:noWrap w:val="0"/>
            <w:vAlign w:val="center"/>
          </w:tcPr>
          <w:p w14:paraId="51245FF8">
            <w:pPr>
              <w:pStyle w:val="11"/>
              <w:ind w:firstLine="0" w:firstLineChars="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40</w:t>
            </w:r>
          </w:p>
        </w:tc>
        <w:tc>
          <w:tcPr>
            <w:tcW w:w="603" w:type="pct"/>
            <w:noWrap w:val="0"/>
            <w:vAlign w:val="center"/>
          </w:tcPr>
          <w:p w14:paraId="3CFF94FF">
            <w:pPr>
              <w:pStyle w:val="11"/>
              <w:ind w:firstLine="0" w:firstLineChars="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7.25</w:t>
            </w:r>
          </w:p>
        </w:tc>
      </w:tr>
      <w:tr w14:paraId="7266E2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91" w:type="pct"/>
            <w:vMerge w:val="continue"/>
            <w:noWrap w:val="0"/>
            <w:vAlign w:val="center"/>
          </w:tcPr>
          <w:p w14:paraId="15AF60AF">
            <w:pPr>
              <w:pStyle w:val="11"/>
              <w:ind w:firstLine="0" w:firstLineChars="0"/>
              <w:jc w:val="center"/>
              <w:rPr>
                <w:rFonts w:hint="eastAsia" w:ascii="仿宋_GB2312" w:hAnsi="仿宋_GB2312" w:eastAsia="仿宋_GB2312" w:cs="仿宋_GB2312"/>
                <w:sz w:val="24"/>
                <w:szCs w:val="24"/>
              </w:rPr>
            </w:pPr>
          </w:p>
        </w:tc>
        <w:tc>
          <w:tcPr>
            <w:tcW w:w="674" w:type="pct"/>
            <w:noWrap w:val="0"/>
            <w:vAlign w:val="center"/>
          </w:tcPr>
          <w:p w14:paraId="6030C185">
            <w:pPr>
              <w:pStyle w:val="11"/>
              <w:ind w:firstLine="0" w:firstLineChars="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江州</w:t>
            </w:r>
          </w:p>
        </w:tc>
        <w:tc>
          <w:tcPr>
            <w:tcW w:w="613" w:type="pct"/>
            <w:noWrap w:val="0"/>
            <w:vAlign w:val="center"/>
          </w:tcPr>
          <w:p w14:paraId="7A4628F2">
            <w:pPr>
              <w:pStyle w:val="11"/>
              <w:ind w:firstLine="0" w:firstLineChars="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50</w:t>
            </w:r>
          </w:p>
        </w:tc>
        <w:tc>
          <w:tcPr>
            <w:tcW w:w="861" w:type="pct"/>
            <w:noWrap w:val="0"/>
            <w:vAlign w:val="center"/>
          </w:tcPr>
          <w:p w14:paraId="05F02559">
            <w:pPr>
              <w:pStyle w:val="11"/>
              <w:ind w:firstLine="0" w:firstLineChars="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2500</w:t>
            </w:r>
          </w:p>
        </w:tc>
        <w:tc>
          <w:tcPr>
            <w:tcW w:w="618" w:type="pct"/>
            <w:noWrap w:val="0"/>
            <w:vAlign w:val="top"/>
          </w:tcPr>
          <w:p w14:paraId="5B8751C9">
            <w:pPr>
              <w:pStyle w:val="11"/>
              <w:ind w:firstLine="0" w:firstLineChars="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95</w:t>
            </w:r>
          </w:p>
        </w:tc>
        <w:tc>
          <w:tcPr>
            <w:tcW w:w="618" w:type="pct"/>
            <w:noWrap w:val="0"/>
            <w:vAlign w:val="center"/>
          </w:tcPr>
          <w:p w14:paraId="52C43CBF">
            <w:pPr>
              <w:pStyle w:val="11"/>
              <w:ind w:firstLine="0" w:firstLineChars="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200</w:t>
            </w:r>
          </w:p>
        </w:tc>
        <w:tc>
          <w:tcPr>
            <w:tcW w:w="618" w:type="pct"/>
            <w:noWrap w:val="0"/>
            <w:vAlign w:val="center"/>
          </w:tcPr>
          <w:p w14:paraId="48A98503">
            <w:pPr>
              <w:pStyle w:val="11"/>
              <w:ind w:firstLine="0" w:firstLineChars="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40</w:t>
            </w:r>
          </w:p>
        </w:tc>
        <w:tc>
          <w:tcPr>
            <w:tcW w:w="603" w:type="pct"/>
            <w:noWrap w:val="0"/>
            <w:vAlign w:val="center"/>
          </w:tcPr>
          <w:p w14:paraId="3D3D206A">
            <w:pPr>
              <w:pStyle w:val="11"/>
              <w:ind w:firstLine="0" w:firstLineChars="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6.85</w:t>
            </w:r>
          </w:p>
        </w:tc>
      </w:tr>
      <w:tr w14:paraId="5D6E38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91" w:type="pct"/>
            <w:vMerge w:val="restart"/>
            <w:noWrap w:val="0"/>
            <w:vAlign w:val="center"/>
          </w:tcPr>
          <w:p w14:paraId="25D62E50">
            <w:pPr>
              <w:pStyle w:val="11"/>
              <w:ind w:firstLine="0" w:firstLineChars="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双芽段种茎</w:t>
            </w:r>
          </w:p>
        </w:tc>
        <w:tc>
          <w:tcPr>
            <w:tcW w:w="674" w:type="pct"/>
            <w:noWrap w:val="0"/>
            <w:vAlign w:val="center"/>
          </w:tcPr>
          <w:p w14:paraId="44900384">
            <w:pPr>
              <w:pStyle w:val="11"/>
              <w:ind w:firstLine="0" w:firstLineChars="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武鸣</w:t>
            </w:r>
          </w:p>
        </w:tc>
        <w:tc>
          <w:tcPr>
            <w:tcW w:w="613" w:type="pct"/>
            <w:noWrap w:val="0"/>
            <w:vAlign w:val="center"/>
          </w:tcPr>
          <w:p w14:paraId="3271D9FB">
            <w:pPr>
              <w:pStyle w:val="11"/>
              <w:ind w:firstLine="0" w:firstLineChars="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250</w:t>
            </w:r>
          </w:p>
        </w:tc>
        <w:tc>
          <w:tcPr>
            <w:tcW w:w="861" w:type="pct"/>
            <w:noWrap w:val="0"/>
            <w:vAlign w:val="center"/>
          </w:tcPr>
          <w:p w14:paraId="5267AD85">
            <w:pPr>
              <w:pStyle w:val="11"/>
              <w:ind w:firstLine="0" w:firstLineChars="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4000</w:t>
            </w:r>
          </w:p>
        </w:tc>
        <w:tc>
          <w:tcPr>
            <w:tcW w:w="618" w:type="pct"/>
            <w:noWrap w:val="0"/>
            <w:vAlign w:val="top"/>
          </w:tcPr>
          <w:p w14:paraId="6C576421">
            <w:pPr>
              <w:pStyle w:val="11"/>
              <w:ind w:firstLine="0" w:firstLineChars="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90</w:t>
            </w:r>
          </w:p>
        </w:tc>
        <w:tc>
          <w:tcPr>
            <w:tcW w:w="618" w:type="pct"/>
            <w:noWrap w:val="0"/>
            <w:vAlign w:val="center"/>
          </w:tcPr>
          <w:p w14:paraId="42CFE6EE">
            <w:pPr>
              <w:pStyle w:val="11"/>
              <w:ind w:firstLine="0" w:firstLineChars="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550</w:t>
            </w:r>
          </w:p>
        </w:tc>
        <w:tc>
          <w:tcPr>
            <w:tcW w:w="618" w:type="pct"/>
            <w:noWrap w:val="0"/>
            <w:vAlign w:val="center"/>
          </w:tcPr>
          <w:p w14:paraId="74A4FE6C">
            <w:pPr>
              <w:pStyle w:val="11"/>
              <w:ind w:firstLine="0" w:firstLineChars="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70</w:t>
            </w:r>
          </w:p>
        </w:tc>
        <w:tc>
          <w:tcPr>
            <w:tcW w:w="603" w:type="pct"/>
            <w:noWrap w:val="0"/>
            <w:vAlign w:val="center"/>
          </w:tcPr>
          <w:p w14:paraId="57774CC8">
            <w:pPr>
              <w:pStyle w:val="11"/>
              <w:ind w:firstLine="0" w:firstLineChars="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6.8</w:t>
            </w:r>
          </w:p>
        </w:tc>
      </w:tr>
      <w:tr w14:paraId="7F171C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91" w:type="pct"/>
            <w:vMerge w:val="continue"/>
            <w:noWrap w:val="0"/>
            <w:vAlign w:val="center"/>
          </w:tcPr>
          <w:p w14:paraId="49DFD0E6">
            <w:pPr>
              <w:pStyle w:val="11"/>
              <w:ind w:firstLine="0" w:firstLineChars="0"/>
              <w:jc w:val="center"/>
              <w:rPr>
                <w:rFonts w:hint="eastAsia" w:ascii="仿宋_GB2312" w:hAnsi="仿宋_GB2312" w:eastAsia="仿宋_GB2312" w:cs="仿宋_GB2312"/>
                <w:sz w:val="24"/>
                <w:szCs w:val="24"/>
              </w:rPr>
            </w:pPr>
          </w:p>
        </w:tc>
        <w:tc>
          <w:tcPr>
            <w:tcW w:w="674" w:type="pct"/>
            <w:noWrap w:val="0"/>
            <w:vAlign w:val="center"/>
          </w:tcPr>
          <w:p w14:paraId="6B55EA0D">
            <w:pPr>
              <w:pStyle w:val="11"/>
              <w:ind w:firstLine="0" w:firstLineChars="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兴宾</w:t>
            </w:r>
          </w:p>
        </w:tc>
        <w:tc>
          <w:tcPr>
            <w:tcW w:w="613" w:type="pct"/>
            <w:noWrap w:val="0"/>
            <w:vAlign w:val="center"/>
          </w:tcPr>
          <w:p w14:paraId="7384DECB">
            <w:pPr>
              <w:pStyle w:val="11"/>
              <w:ind w:firstLine="0" w:firstLineChars="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300</w:t>
            </w:r>
          </w:p>
        </w:tc>
        <w:tc>
          <w:tcPr>
            <w:tcW w:w="861" w:type="pct"/>
            <w:noWrap w:val="0"/>
            <w:vAlign w:val="center"/>
          </w:tcPr>
          <w:p w14:paraId="36A4334E">
            <w:pPr>
              <w:pStyle w:val="11"/>
              <w:ind w:firstLine="0" w:firstLineChars="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4500</w:t>
            </w:r>
          </w:p>
        </w:tc>
        <w:tc>
          <w:tcPr>
            <w:tcW w:w="618" w:type="pct"/>
            <w:noWrap w:val="0"/>
            <w:vAlign w:val="top"/>
          </w:tcPr>
          <w:p w14:paraId="4D5C61EC">
            <w:pPr>
              <w:pStyle w:val="11"/>
              <w:ind w:firstLine="0" w:firstLineChars="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89</w:t>
            </w:r>
          </w:p>
        </w:tc>
        <w:tc>
          <w:tcPr>
            <w:tcW w:w="618" w:type="pct"/>
            <w:noWrap w:val="0"/>
            <w:vAlign w:val="center"/>
          </w:tcPr>
          <w:p w14:paraId="4C0F236B">
            <w:pPr>
              <w:pStyle w:val="11"/>
              <w:ind w:firstLine="0" w:firstLineChars="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650</w:t>
            </w:r>
          </w:p>
        </w:tc>
        <w:tc>
          <w:tcPr>
            <w:tcW w:w="618" w:type="pct"/>
            <w:noWrap w:val="0"/>
            <w:vAlign w:val="center"/>
          </w:tcPr>
          <w:p w14:paraId="1F9F05C1">
            <w:pPr>
              <w:pStyle w:val="11"/>
              <w:ind w:firstLine="0" w:firstLineChars="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70</w:t>
            </w:r>
          </w:p>
        </w:tc>
        <w:tc>
          <w:tcPr>
            <w:tcW w:w="603" w:type="pct"/>
            <w:noWrap w:val="0"/>
            <w:vAlign w:val="center"/>
          </w:tcPr>
          <w:p w14:paraId="5D470F69">
            <w:pPr>
              <w:pStyle w:val="11"/>
              <w:ind w:firstLine="0" w:firstLineChars="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6.75</w:t>
            </w:r>
          </w:p>
        </w:tc>
      </w:tr>
      <w:tr w14:paraId="14A1BA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91" w:type="pct"/>
            <w:vMerge w:val="continue"/>
            <w:noWrap w:val="0"/>
            <w:vAlign w:val="center"/>
          </w:tcPr>
          <w:p w14:paraId="405EDAD5">
            <w:pPr>
              <w:pStyle w:val="11"/>
              <w:ind w:firstLine="0" w:firstLineChars="0"/>
              <w:jc w:val="center"/>
              <w:rPr>
                <w:rFonts w:hint="eastAsia" w:ascii="仿宋_GB2312" w:hAnsi="仿宋_GB2312" w:eastAsia="仿宋_GB2312" w:cs="仿宋_GB2312"/>
                <w:sz w:val="24"/>
                <w:szCs w:val="24"/>
              </w:rPr>
            </w:pPr>
          </w:p>
        </w:tc>
        <w:tc>
          <w:tcPr>
            <w:tcW w:w="674" w:type="pct"/>
            <w:noWrap w:val="0"/>
            <w:vAlign w:val="center"/>
          </w:tcPr>
          <w:p w14:paraId="24E4D878">
            <w:pPr>
              <w:pStyle w:val="11"/>
              <w:ind w:firstLine="0" w:firstLineChars="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龙州</w:t>
            </w:r>
          </w:p>
        </w:tc>
        <w:tc>
          <w:tcPr>
            <w:tcW w:w="613" w:type="pct"/>
            <w:noWrap w:val="0"/>
            <w:vAlign w:val="center"/>
          </w:tcPr>
          <w:p w14:paraId="5874D1A4">
            <w:pPr>
              <w:pStyle w:val="11"/>
              <w:ind w:firstLine="0" w:firstLineChars="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280</w:t>
            </w:r>
          </w:p>
        </w:tc>
        <w:tc>
          <w:tcPr>
            <w:tcW w:w="861" w:type="pct"/>
            <w:noWrap w:val="0"/>
            <w:vAlign w:val="center"/>
          </w:tcPr>
          <w:p w14:paraId="2BDCEE30">
            <w:pPr>
              <w:pStyle w:val="11"/>
              <w:ind w:firstLine="0" w:firstLineChars="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4200</w:t>
            </w:r>
          </w:p>
        </w:tc>
        <w:tc>
          <w:tcPr>
            <w:tcW w:w="618" w:type="pct"/>
            <w:noWrap w:val="0"/>
            <w:vAlign w:val="top"/>
          </w:tcPr>
          <w:p w14:paraId="2668C3F5">
            <w:pPr>
              <w:pStyle w:val="11"/>
              <w:ind w:firstLine="0" w:firstLineChars="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87</w:t>
            </w:r>
          </w:p>
        </w:tc>
        <w:tc>
          <w:tcPr>
            <w:tcW w:w="618" w:type="pct"/>
            <w:noWrap w:val="0"/>
            <w:vAlign w:val="center"/>
          </w:tcPr>
          <w:p w14:paraId="552BAEED">
            <w:pPr>
              <w:pStyle w:val="11"/>
              <w:ind w:firstLine="0" w:firstLineChars="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600</w:t>
            </w:r>
          </w:p>
        </w:tc>
        <w:tc>
          <w:tcPr>
            <w:tcW w:w="618" w:type="pct"/>
            <w:noWrap w:val="0"/>
            <w:vAlign w:val="center"/>
          </w:tcPr>
          <w:p w14:paraId="6D144888">
            <w:pPr>
              <w:pStyle w:val="11"/>
              <w:ind w:firstLine="0" w:firstLineChars="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70</w:t>
            </w:r>
          </w:p>
        </w:tc>
        <w:tc>
          <w:tcPr>
            <w:tcW w:w="603" w:type="pct"/>
            <w:noWrap w:val="0"/>
            <w:vAlign w:val="center"/>
          </w:tcPr>
          <w:p w14:paraId="5A05D873">
            <w:pPr>
              <w:pStyle w:val="11"/>
              <w:ind w:firstLine="0" w:firstLineChars="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7.15</w:t>
            </w:r>
          </w:p>
        </w:tc>
      </w:tr>
      <w:tr w14:paraId="7C7AA2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91" w:type="pct"/>
            <w:vMerge w:val="restart"/>
            <w:noWrap w:val="0"/>
            <w:vAlign w:val="center"/>
          </w:tcPr>
          <w:p w14:paraId="483CA852">
            <w:pPr>
              <w:pStyle w:val="11"/>
              <w:ind w:firstLine="0" w:firstLineChars="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单芽苗</w:t>
            </w:r>
          </w:p>
        </w:tc>
        <w:tc>
          <w:tcPr>
            <w:tcW w:w="674" w:type="pct"/>
            <w:noWrap w:val="0"/>
            <w:vAlign w:val="center"/>
          </w:tcPr>
          <w:p w14:paraId="037CFB7C">
            <w:pPr>
              <w:pStyle w:val="11"/>
              <w:ind w:firstLine="0" w:firstLineChars="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隆安</w:t>
            </w:r>
          </w:p>
        </w:tc>
        <w:tc>
          <w:tcPr>
            <w:tcW w:w="613" w:type="pct"/>
            <w:noWrap w:val="0"/>
            <w:vAlign w:val="center"/>
          </w:tcPr>
          <w:p w14:paraId="286527DE">
            <w:pPr>
              <w:pStyle w:val="11"/>
              <w:ind w:firstLine="0" w:firstLineChars="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50</w:t>
            </w:r>
          </w:p>
        </w:tc>
        <w:tc>
          <w:tcPr>
            <w:tcW w:w="861" w:type="pct"/>
            <w:noWrap w:val="0"/>
            <w:vAlign w:val="center"/>
          </w:tcPr>
          <w:p w14:paraId="7FD80FD0">
            <w:pPr>
              <w:pStyle w:val="11"/>
              <w:ind w:firstLine="0" w:firstLineChars="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1000</w:t>
            </w:r>
          </w:p>
        </w:tc>
        <w:tc>
          <w:tcPr>
            <w:tcW w:w="618" w:type="pct"/>
            <w:noWrap w:val="0"/>
            <w:vAlign w:val="top"/>
          </w:tcPr>
          <w:p w14:paraId="11917FD2">
            <w:pPr>
              <w:pStyle w:val="11"/>
              <w:ind w:firstLine="0" w:firstLineChars="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95</w:t>
            </w:r>
          </w:p>
        </w:tc>
        <w:tc>
          <w:tcPr>
            <w:tcW w:w="618" w:type="pct"/>
            <w:noWrap w:val="0"/>
            <w:vAlign w:val="center"/>
          </w:tcPr>
          <w:p w14:paraId="34FD6599">
            <w:pPr>
              <w:pStyle w:val="11"/>
              <w:ind w:firstLine="0" w:firstLineChars="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600</w:t>
            </w:r>
          </w:p>
        </w:tc>
        <w:tc>
          <w:tcPr>
            <w:tcW w:w="618" w:type="pct"/>
            <w:noWrap w:val="0"/>
            <w:vAlign w:val="center"/>
          </w:tcPr>
          <w:p w14:paraId="113F1448">
            <w:pPr>
              <w:pStyle w:val="11"/>
              <w:ind w:firstLine="0" w:firstLineChars="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50</w:t>
            </w:r>
          </w:p>
        </w:tc>
        <w:tc>
          <w:tcPr>
            <w:tcW w:w="603" w:type="pct"/>
            <w:noWrap w:val="0"/>
            <w:vAlign w:val="center"/>
          </w:tcPr>
          <w:p w14:paraId="74DFCB86">
            <w:pPr>
              <w:pStyle w:val="11"/>
              <w:ind w:firstLine="0" w:firstLineChars="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7.28</w:t>
            </w:r>
          </w:p>
        </w:tc>
      </w:tr>
      <w:tr w14:paraId="388E1E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91" w:type="pct"/>
            <w:vMerge w:val="continue"/>
            <w:noWrap w:val="0"/>
            <w:vAlign w:val="center"/>
          </w:tcPr>
          <w:p w14:paraId="2E993CD7">
            <w:pPr>
              <w:pStyle w:val="11"/>
              <w:ind w:firstLine="0" w:firstLineChars="0"/>
              <w:jc w:val="center"/>
              <w:rPr>
                <w:rFonts w:hint="eastAsia" w:ascii="仿宋_GB2312" w:hAnsi="仿宋_GB2312" w:eastAsia="仿宋_GB2312" w:cs="仿宋_GB2312"/>
                <w:sz w:val="24"/>
                <w:szCs w:val="24"/>
              </w:rPr>
            </w:pPr>
          </w:p>
        </w:tc>
        <w:tc>
          <w:tcPr>
            <w:tcW w:w="674" w:type="pct"/>
            <w:noWrap w:val="0"/>
            <w:vAlign w:val="center"/>
          </w:tcPr>
          <w:p w14:paraId="1E4B0093">
            <w:pPr>
              <w:pStyle w:val="11"/>
              <w:ind w:firstLine="0" w:firstLineChars="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武鸣</w:t>
            </w:r>
          </w:p>
        </w:tc>
        <w:tc>
          <w:tcPr>
            <w:tcW w:w="613" w:type="pct"/>
            <w:noWrap w:val="0"/>
            <w:vAlign w:val="center"/>
          </w:tcPr>
          <w:p w14:paraId="3B32E5B1">
            <w:pPr>
              <w:pStyle w:val="11"/>
              <w:ind w:firstLine="0" w:firstLineChars="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100</w:t>
            </w:r>
          </w:p>
        </w:tc>
        <w:tc>
          <w:tcPr>
            <w:tcW w:w="861" w:type="pct"/>
            <w:noWrap w:val="0"/>
            <w:vAlign w:val="center"/>
          </w:tcPr>
          <w:p w14:paraId="0943AEB4">
            <w:pPr>
              <w:pStyle w:val="11"/>
              <w:ind w:firstLine="0" w:firstLineChars="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1200</w:t>
            </w:r>
          </w:p>
        </w:tc>
        <w:tc>
          <w:tcPr>
            <w:tcW w:w="618" w:type="pct"/>
            <w:noWrap w:val="0"/>
            <w:vAlign w:val="top"/>
          </w:tcPr>
          <w:p w14:paraId="5C827F4E">
            <w:pPr>
              <w:pStyle w:val="11"/>
              <w:ind w:firstLine="0" w:firstLineChars="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93</w:t>
            </w:r>
          </w:p>
        </w:tc>
        <w:tc>
          <w:tcPr>
            <w:tcW w:w="618" w:type="pct"/>
            <w:noWrap w:val="0"/>
            <w:vAlign w:val="center"/>
          </w:tcPr>
          <w:p w14:paraId="37948F3E">
            <w:pPr>
              <w:pStyle w:val="11"/>
              <w:ind w:firstLine="0" w:firstLineChars="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720</w:t>
            </w:r>
          </w:p>
        </w:tc>
        <w:tc>
          <w:tcPr>
            <w:tcW w:w="618" w:type="pct"/>
            <w:noWrap w:val="0"/>
            <w:vAlign w:val="center"/>
          </w:tcPr>
          <w:p w14:paraId="0D750188">
            <w:pPr>
              <w:pStyle w:val="11"/>
              <w:ind w:firstLine="0" w:firstLineChars="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50</w:t>
            </w:r>
          </w:p>
        </w:tc>
        <w:tc>
          <w:tcPr>
            <w:tcW w:w="603" w:type="pct"/>
            <w:noWrap w:val="0"/>
            <w:vAlign w:val="center"/>
          </w:tcPr>
          <w:p w14:paraId="445C0F9D">
            <w:pPr>
              <w:pStyle w:val="11"/>
              <w:ind w:firstLine="0" w:firstLineChars="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7.55</w:t>
            </w:r>
          </w:p>
        </w:tc>
      </w:tr>
      <w:tr w14:paraId="14A01E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91" w:type="pct"/>
            <w:vMerge w:val="continue"/>
            <w:noWrap w:val="0"/>
            <w:vAlign w:val="center"/>
          </w:tcPr>
          <w:p w14:paraId="72D45484">
            <w:pPr>
              <w:pStyle w:val="11"/>
              <w:ind w:firstLine="0" w:firstLineChars="0"/>
              <w:jc w:val="center"/>
              <w:rPr>
                <w:rFonts w:hint="eastAsia" w:ascii="仿宋_GB2312" w:hAnsi="仿宋_GB2312" w:eastAsia="仿宋_GB2312" w:cs="仿宋_GB2312"/>
                <w:sz w:val="24"/>
                <w:szCs w:val="24"/>
              </w:rPr>
            </w:pPr>
          </w:p>
        </w:tc>
        <w:tc>
          <w:tcPr>
            <w:tcW w:w="674" w:type="pct"/>
            <w:noWrap w:val="0"/>
            <w:vAlign w:val="center"/>
          </w:tcPr>
          <w:p w14:paraId="58E5029A">
            <w:pPr>
              <w:pStyle w:val="11"/>
              <w:ind w:firstLine="0" w:firstLineChars="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兴宾</w:t>
            </w:r>
          </w:p>
        </w:tc>
        <w:tc>
          <w:tcPr>
            <w:tcW w:w="613" w:type="pct"/>
            <w:noWrap w:val="0"/>
            <w:vAlign w:val="center"/>
          </w:tcPr>
          <w:p w14:paraId="28F6ED1F">
            <w:pPr>
              <w:pStyle w:val="11"/>
              <w:ind w:firstLine="0" w:firstLineChars="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80</w:t>
            </w:r>
          </w:p>
        </w:tc>
        <w:tc>
          <w:tcPr>
            <w:tcW w:w="861" w:type="pct"/>
            <w:noWrap w:val="0"/>
            <w:vAlign w:val="center"/>
          </w:tcPr>
          <w:p w14:paraId="77FEDA23">
            <w:pPr>
              <w:pStyle w:val="11"/>
              <w:ind w:firstLine="0" w:firstLineChars="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1000</w:t>
            </w:r>
          </w:p>
        </w:tc>
        <w:tc>
          <w:tcPr>
            <w:tcW w:w="618" w:type="pct"/>
            <w:noWrap w:val="0"/>
            <w:vAlign w:val="top"/>
          </w:tcPr>
          <w:p w14:paraId="0409D2F1">
            <w:pPr>
              <w:pStyle w:val="11"/>
              <w:ind w:firstLine="0" w:firstLineChars="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92</w:t>
            </w:r>
          </w:p>
        </w:tc>
        <w:tc>
          <w:tcPr>
            <w:tcW w:w="618" w:type="pct"/>
            <w:noWrap w:val="0"/>
            <w:vAlign w:val="center"/>
          </w:tcPr>
          <w:p w14:paraId="7354F947">
            <w:pPr>
              <w:pStyle w:val="11"/>
              <w:ind w:firstLine="0" w:firstLineChars="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600</w:t>
            </w:r>
          </w:p>
        </w:tc>
        <w:tc>
          <w:tcPr>
            <w:tcW w:w="618" w:type="pct"/>
            <w:noWrap w:val="0"/>
            <w:vAlign w:val="center"/>
          </w:tcPr>
          <w:p w14:paraId="04768A7E">
            <w:pPr>
              <w:pStyle w:val="11"/>
              <w:ind w:firstLine="0" w:firstLineChars="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50</w:t>
            </w:r>
          </w:p>
        </w:tc>
        <w:tc>
          <w:tcPr>
            <w:tcW w:w="603" w:type="pct"/>
            <w:noWrap w:val="0"/>
            <w:vAlign w:val="center"/>
          </w:tcPr>
          <w:p w14:paraId="3F0726C5">
            <w:pPr>
              <w:pStyle w:val="11"/>
              <w:ind w:firstLine="0" w:firstLineChars="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7.22</w:t>
            </w:r>
          </w:p>
        </w:tc>
      </w:tr>
    </w:tbl>
    <w:p w14:paraId="2C9E2841">
      <w:pPr>
        <w:keepNext w:val="0"/>
        <w:keepLines w:val="0"/>
        <w:pageBreakBefore w:val="0"/>
        <w:numPr>
          <w:ilvl w:val="0"/>
          <w:numId w:val="0"/>
        </w:numPr>
        <w:kinsoku/>
        <w:overflowPunct/>
        <w:topLinePunct w:val="0"/>
        <w:bidi w:val="0"/>
        <w:snapToGrid/>
        <w:ind w:left="0" w:leftChars="0" w:firstLine="640" w:firstLineChars="200"/>
        <w:textAlignment w:val="auto"/>
        <w:rPr>
          <w:rFonts w:hint="eastAsia"/>
          <w:b w:val="0"/>
          <w:bCs w:val="0"/>
        </w:rPr>
      </w:pPr>
      <w:r>
        <w:rPr>
          <w:rFonts w:hint="eastAsia" w:ascii="仿宋_GB2312" w:hAnsi="宋体" w:eastAsia="仿宋_GB2312" w:cs="Times New Roman"/>
          <w:b w:val="0"/>
          <w:bCs w:val="0"/>
          <w:color w:val="auto"/>
          <w:kern w:val="2"/>
          <w:sz w:val="32"/>
          <w:szCs w:val="32"/>
          <w:highlight w:val="none"/>
          <w:lang w:val="en-US" w:eastAsia="zh-CN" w:bidi="ar-SA"/>
        </w:rPr>
        <w:t>（六）</w:t>
      </w:r>
      <w:r>
        <w:rPr>
          <w:rFonts w:hint="eastAsia"/>
          <w:b w:val="0"/>
          <w:bCs w:val="0"/>
        </w:rPr>
        <w:t>田间管理</w:t>
      </w:r>
    </w:p>
    <w:p w14:paraId="5BAAF1C3">
      <w:pPr>
        <w:keepNext w:val="0"/>
        <w:keepLines w:val="0"/>
        <w:pageBreakBefore w:val="0"/>
        <w:numPr>
          <w:ilvl w:val="0"/>
          <w:numId w:val="0"/>
        </w:numPr>
        <w:kinsoku/>
        <w:overflowPunct/>
        <w:topLinePunct w:val="0"/>
        <w:bidi w:val="0"/>
        <w:snapToGrid/>
        <w:ind w:left="0" w:leftChars="0" w:firstLine="640" w:firstLineChars="200"/>
        <w:textAlignment w:val="auto"/>
        <w:rPr>
          <w:rFonts w:hint="eastAsia"/>
          <w:lang w:val="en-US" w:eastAsia="zh-CN"/>
        </w:rPr>
      </w:pPr>
      <w:r>
        <w:rPr>
          <w:rFonts w:hint="eastAsia"/>
          <w:lang w:val="en-US" w:eastAsia="zh-CN"/>
        </w:rPr>
        <w:t xml:space="preserve">  机械除草：单芽种茎（苗）根系浅、前期生长弱，传统化学除草易伤苗且长期使用产生抗药性。机械除草作业效率高、成本低，同时避免农药残留和环境污染。</w:t>
      </w:r>
    </w:p>
    <w:p w14:paraId="7010851E">
      <w:pPr>
        <w:keepNext w:val="0"/>
        <w:keepLines w:val="0"/>
        <w:pageBreakBefore w:val="0"/>
        <w:numPr>
          <w:ilvl w:val="0"/>
          <w:numId w:val="0"/>
        </w:numPr>
        <w:kinsoku/>
        <w:overflowPunct/>
        <w:topLinePunct w:val="0"/>
        <w:bidi w:val="0"/>
        <w:snapToGrid/>
        <w:ind w:left="0" w:leftChars="0" w:firstLine="640" w:firstLineChars="200"/>
        <w:textAlignment w:val="auto"/>
        <w:rPr>
          <w:rFonts w:hint="eastAsia"/>
          <w:lang w:val="en-US" w:eastAsia="zh-CN"/>
        </w:rPr>
      </w:pPr>
      <w:r>
        <w:rPr>
          <w:rFonts w:hint="eastAsia"/>
          <w:lang w:val="en-US" w:eastAsia="zh-CN"/>
        </w:rPr>
        <w:t>水分管理：单芽种茎因体积小、自身储存水分和养分有限，种植后保持土壤表层</w:t>
      </w:r>
      <w:r>
        <w:rPr>
          <w:rFonts w:hint="eastAsia" w:ascii="仿宋_GB2312" w:hAnsi="仿宋_GB2312" w:eastAsia="仿宋_GB2312" w:cs="仿宋_GB2312"/>
          <w:lang w:val="en-US" w:eastAsia="zh-CN"/>
        </w:rPr>
        <w:t>25cm内相对含水量65%-75%，</w:t>
      </w:r>
      <w:r>
        <w:rPr>
          <w:rFonts w:hint="eastAsia"/>
          <w:lang w:val="en-US" w:eastAsia="zh-CN"/>
        </w:rPr>
        <w:t>既能保证芽眼吸水膨胀、顺利萌发，又确保根系呼吸所需氧气。</w:t>
      </w:r>
    </w:p>
    <w:p w14:paraId="5DC5B641">
      <w:pPr>
        <w:keepNext w:val="0"/>
        <w:keepLines w:val="0"/>
        <w:pageBreakBefore w:val="0"/>
        <w:numPr>
          <w:ilvl w:val="0"/>
          <w:numId w:val="0"/>
        </w:numPr>
        <w:kinsoku/>
        <w:overflowPunct/>
        <w:topLinePunct w:val="0"/>
        <w:bidi w:val="0"/>
        <w:snapToGrid/>
        <w:ind w:left="0" w:leftChars="0" w:firstLine="640" w:firstLineChars="200"/>
        <w:textAlignment w:val="auto"/>
        <w:rPr>
          <w:rFonts w:hint="eastAsia"/>
          <w:lang w:val="en-US" w:eastAsia="zh-CN"/>
        </w:rPr>
      </w:pPr>
      <w:r>
        <w:rPr>
          <w:rFonts w:hint="eastAsia"/>
          <w:lang w:val="en-US" w:eastAsia="zh-CN"/>
        </w:rPr>
        <w:t>中耕施肥培土：培土能增加根系入土深度、扩展根群、增强抗倒伏能力并盖住肥料减少流失。但滴灌带若被机械卷入或压埋，会造成破损或堵塞，因此需临时移动滴灌带避让机械作业，培完土后再放回原处，或在培土机上安装挂钩将其抬起。</w:t>
      </w:r>
    </w:p>
    <w:p w14:paraId="7C8DCF92">
      <w:pPr>
        <w:keepNext w:val="0"/>
        <w:keepLines w:val="0"/>
        <w:pageBreakBefore w:val="0"/>
        <w:numPr>
          <w:ilvl w:val="0"/>
          <w:numId w:val="0"/>
        </w:numPr>
        <w:kinsoku/>
        <w:overflowPunct/>
        <w:topLinePunct w:val="0"/>
        <w:bidi w:val="0"/>
        <w:snapToGrid/>
        <w:ind w:left="0" w:leftChars="0" w:firstLine="640" w:firstLineChars="200"/>
        <w:textAlignment w:val="auto"/>
        <w:rPr>
          <w:rFonts w:hint="eastAsia"/>
          <w:lang w:val="en-US" w:eastAsia="zh-CN"/>
        </w:rPr>
      </w:pPr>
      <w:r>
        <w:rPr>
          <w:rFonts w:hint="eastAsia"/>
          <w:lang w:val="en-US" w:eastAsia="zh-CN"/>
        </w:rPr>
        <w:t>病虫害防治：单芽种茎苗龄短、组织幼嫩，对病虫害抵抗力弱，且苗床密度高，病害传播风险大，一旦发生病虫害可能造成毁灭性损失。严格执行国家标准</w:t>
      </w:r>
      <w:r>
        <w:rPr>
          <w:rFonts w:hint="eastAsia" w:ascii="仿宋_GB2312" w:hAnsi="仿宋_GB2312" w:eastAsia="仿宋_GB2312" w:cs="仿宋_GB2312"/>
          <w:lang w:val="en-US" w:eastAsia="zh-CN"/>
        </w:rPr>
        <w:t>《GB</w:t>
      </w:r>
      <w:r>
        <w:rPr>
          <w:rFonts w:hint="eastAsia" w:ascii="仿宋_GB2312" w:hAnsi="仿宋_GB2312" w:cs="仿宋_GB2312"/>
          <w:lang w:val="en-US" w:eastAsia="zh-CN"/>
        </w:rPr>
        <w:t>/</w:t>
      </w:r>
      <w:r>
        <w:rPr>
          <w:rFonts w:hint="eastAsia" w:ascii="仿宋_GB2312" w:hAnsi="仿宋_GB2312" w:eastAsia="仿宋_GB2312" w:cs="仿宋_GB2312"/>
          <w:lang w:val="en-US" w:eastAsia="zh-CN"/>
        </w:rPr>
        <w:t>T</w:t>
      </w:r>
      <w:r>
        <w:rPr>
          <w:rFonts w:hint="eastAsia" w:ascii="仿宋_GB2312" w:hAnsi="仿宋_GB2312" w:cs="仿宋_GB2312"/>
          <w:lang w:val="en-US" w:eastAsia="zh-CN"/>
        </w:rPr>
        <w:t xml:space="preserve"> </w:t>
      </w:r>
      <w:r>
        <w:rPr>
          <w:rFonts w:hint="eastAsia" w:ascii="仿宋_GB2312" w:hAnsi="仿宋_GB2312" w:eastAsia="仿宋_GB2312" w:cs="仿宋_GB2312"/>
          <w:lang w:val="en-US" w:eastAsia="zh-CN"/>
        </w:rPr>
        <w:t>19566-2025 旱地糖料甘蔗高产栽培技术规程</w:t>
      </w:r>
      <w:r>
        <w:rPr>
          <w:rFonts w:hint="eastAsia"/>
          <w:lang w:val="en-US" w:eastAsia="zh-CN"/>
        </w:rPr>
        <w:t xml:space="preserve">》执行。    </w:t>
      </w:r>
    </w:p>
    <w:p w14:paraId="66E3679A">
      <w:pPr>
        <w:keepNext w:val="0"/>
        <w:keepLines w:val="0"/>
        <w:pageBreakBefore w:val="0"/>
        <w:numPr>
          <w:ilvl w:val="0"/>
          <w:numId w:val="0"/>
        </w:numPr>
        <w:kinsoku/>
        <w:overflowPunct/>
        <w:topLinePunct w:val="0"/>
        <w:bidi w:val="0"/>
        <w:snapToGrid/>
        <w:ind w:left="0" w:leftChars="0" w:firstLine="640" w:firstLineChars="200"/>
        <w:textAlignment w:val="auto"/>
        <w:rPr>
          <w:rFonts w:hint="default"/>
          <w:lang w:val="en-US" w:eastAsia="zh-CN"/>
        </w:rPr>
      </w:pPr>
    </w:p>
    <w:p w14:paraId="1FFC7353">
      <w:pPr>
        <w:keepNext w:val="0"/>
        <w:keepLines w:val="0"/>
        <w:pageBreakBefore w:val="0"/>
        <w:numPr>
          <w:ilvl w:val="0"/>
          <w:numId w:val="0"/>
        </w:numPr>
        <w:kinsoku/>
        <w:overflowPunct/>
        <w:topLinePunct w:val="0"/>
        <w:bidi w:val="0"/>
        <w:snapToGrid/>
        <w:ind w:left="0" w:leftChars="0" w:firstLine="640" w:firstLineChars="200"/>
        <w:textAlignment w:val="auto"/>
        <w:rPr>
          <w:rFonts w:hint="eastAsia" w:ascii="仿宋_GB2312" w:hAnsi="宋体" w:eastAsia="仿宋_GB2312" w:cs="Times New Roman"/>
          <w:b w:val="0"/>
          <w:bCs w:val="0"/>
          <w:color w:val="auto"/>
          <w:kern w:val="2"/>
          <w:sz w:val="32"/>
          <w:szCs w:val="32"/>
          <w:highlight w:val="none"/>
          <w:lang w:val="en-US" w:eastAsia="zh-CN" w:bidi="ar-SA"/>
        </w:rPr>
      </w:pPr>
      <w:r>
        <w:rPr>
          <w:rFonts w:hint="eastAsia" w:ascii="仿宋_GB2312" w:hAnsi="宋体" w:eastAsia="仿宋_GB2312" w:cs="Times New Roman"/>
          <w:b w:val="0"/>
          <w:bCs w:val="0"/>
          <w:color w:val="auto"/>
          <w:kern w:val="2"/>
          <w:sz w:val="32"/>
          <w:szCs w:val="32"/>
          <w:highlight w:val="none"/>
          <w:lang w:val="en-US" w:eastAsia="zh-CN" w:bidi="ar-SA"/>
        </w:rPr>
        <w:t>（七）收获</w:t>
      </w:r>
    </w:p>
    <w:p w14:paraId="7A5719E2">
      <w:pPr>
        <w:keepNext w:val="0"/>
        <w:keepLines w:val="0"/>
        <w:pageBreakBefore w:val="0"/>
        <w:numPr>
          <w:ilvl w:val="0"/>
          <w:numId w:val="0"/>
        </w:numPr>
        <w:kinsoku/>
        <w:overflowPunct/>
        <w:topLinePunct w:val="0"/>
        <w:bidi w:val="0"/>
        <w:snapToGrid/>
        <w:ind w:left="0" w:leftChars="0" w:firstLine="640" w:firstLineChars="200"/>
        <w:textAlignment w:val="auto"/>
        <w:rPr>
          <w:rFonts w:hint="eastAsia"/>
          <w:lang w:val="en-US" w:eastAsia="zh-CN"/>
        </w:rPr>
      </w:pPr>
      <w:r>
        <w:rPr>
          <w:rFonts w:hint="eastAsia"/>
          <w:lang w:val="en-US" w:eastAsia="zh-CN"/>
        </w:rPr>
        <w:t>甘蔗收获前，将田间铺设的滴灌支管全部回收，避免机械收获时碾压，甘蔗收获按NY/T 3889的规定执行。</w:t>
      </w:r>
    </w:p>
    <w:p w14:paraId="412D30FF">
      <w:pPr>
        <w:keepNext w:val="0"/>
        <w:keepLines w:val="0"/>
        <w:pageBreakBefore w:val="0"/>
        <w:kinsoku/>
        <w:overflowPunct/>
        <w:topLinePunct w:val="0"/>
        <w:autoSpaceDE w:val="0"/>
        <w:autoSpaceDN w:val="0"/>
        <w:bidi w:val="0"/>
        <w:adjustRightInd w:val="0"/>
        <w:snapToGrid/>
        <w:spacing w:line="560" w:lineRule="exact"/>
        <w:ind w:left="0" w:firstLine="640" w:firstLineChars="200"/>
        <w:jc w:val="left"/>
        <w:textAlignment w:val="auto"/>
        <w:rPr>
          <w:rFonts w:ascii="黑体" w:hAnsi="黑体" w:eastAsia="黑体" w:cs="仿宋_GB2312"/>
          <w:color w:val="auto"/>
          <w:sz w:val="32"/>
          <w:szCs w:val="32"/>
          <w:highlight w:val="none"/>
        </w:rPr>
      </w:pPr>
      <w:bookmarkStart w:id="5" w:name="_Toc526940086"/>
      <w:r>
        <w:rPr>
          <w:rFonts w:hint="eastAsia" w:ascii="黑体" w:hAnsi="黑体" w:eastAsia="黑体" w:cs="仿宋_GB2312"/>
          <w:color w:val="auto"/>
          <w:sz w:val="32"/>
          <w:szCs w:val="32"/>
          <w:highlight w:val="none"/>
        </w:rPr>
        <w:t>六、</w:t>
      </w:r>
      <w:bookmarkEnd w:id="5"/>
      <w:r>
        <w:rPr>
          <w:rFonts w:hint="eastAsia" w:ascii="黑体" w:hAnsi="黑体" w:eastAsia="黑体" w:cs="仿宋_GB2312"/>
          <w:color w:val="auto"/>
          <w:sz w:val="32"/>
          <w:szCs w:val="32"/>
          <w:highlight w:val="none"/>
        </w:rPr>
        <w:t>重大分歧意见的处理经过和依据</w:t>
      </w:r>
    </w:p>
    <w:p w14:paraId="7DBD7D8D">
      <w:pPr>
        <w:keepNext w:val="0"/>
        <w:keepLines w:val="0"/>
        <w:pageBreakBefore w:val="0"/>
        <w:kinsoku/>
        <w:overflowPunct/>
        <w:topLinePunct w:val="0"/>
        <w:bidi w:val="0"/>
        <w:snapToGrid/>
        <w:spacing w:line="560" w:lineRule="exact"/>
        <w:ind w:left="0" w:firstLine="640" w:firstLineChars="200"/>
        <w:textAlignment w:val="auto"/>
        <w:rPr>
          <w:rFonts w:ascii="仿宋_GB2312" w:hAnsi="宋体" w:eastAsia="仿宋_GB2312"/>
          <w:color w:val="auto"/>
          <w:sz w:val="32"/>
          <w:szCs w:val="28"/>
          <w:highlight w:val="none"/>
        </w:rPr>
      </w:pPr>
      <w:r>
        <w:rPr>
          <w:rFonts w:hint="eastAsia" w:ascii="仿宋_GB2312" w:hAnsi="宋体" w:eastAsia="仿宋_GB2312"/>
          <w:color w:val="auto"/>
          <w:sz w:val="32"/>
          <w:szCs w:val="28"/>
          <w:highlight w:val="none"/>
        </w:rPr>
        <w:t>本标准研制过程中无重大分歧意见。</w:t>
      </w:r>
    </w:p>
    <w:p w14:paraId="69867F09">
      <w:pPr>
        <w:keepNext w:val="0"/>
        <w:keepLines w:val="0"/>
        <w:pageBreakBefore w:val="0"/>
        <w:kinsoku/>
        <w:overflowPunct/>
        <w:topLinePunct w:val="0"/>
        <w:autoSpaceDE w:val="0"/>
        <w:autoSpaceDN w:val="0"/>
        <w:bidi w:val="0"/>
        <w:adjustRightInd w:val="0"/>
        <w:snapToGrid/>
        <w:spacing w:line="560" w:lineRule="exact"/>
        <w:ind w:left="0" w:firstLine="640" w:firstLineChars="200"/>
        <w:jc w:val="left"/>
        <w:textAlignment w:val="auto"/>
        <w:rPr>
          <w:rFonts w:ascii="黑体" w:hAnsi="黑体" w:eastAsia="黑体" w:cs="仿宋_GB2312"/>
          <w:color w:val="auto"/>
          <w:sz w:val="32"/>
          <w:szCs w:val="32"/>
          <w:highlight w:val="none"/>
        </w:rPr>
      </w:pPr>
      <w:r>
        <w:rPr>
          <w:rFonts w:hint="eastAsia" w:ascii="黑体" w:hAnsi="黑体" w:eastAsia="黑体" w:cs="仿宋_GB2312"/>
          <w:color w:val="auto"/>
          <w:sz w:val="32"/>
          <w:szCs w:val="32"/>
          <w:highlight w:val="none"/>
        </w:rPr>
        <w:t>七</w:t>
      </w:r>
      <w:r>
        <w:rPr>
          <w:rFonts w:ascii="黑体" w:hAnsi="黑体" w:eastAsia="黑体" w:cs="仿宋_GB2312"/>
          <w:color w:val="auto"/>
          <w:sz w:val="32"/>
          <w:szCs w:val="32"/>
          <w:highlight w:val="none"/>
        </w:rPr>
        <w:t>、</w:t>
      </w:r>
      <w:r>
        <w:rPr>
          <w:rFonts w:hint="eastAsia" w:ascii="黑体" w:hAnsi="黑体" w:eastAsia="黑体" w:cs="仿宋_GB2312"/>
          <w:color w:val="auto"/>
          <w:sz w:val="32"/>
          <w:szCs w:val="32"/>
          <w:highlight w:val="none"/>
        </w:rPr>
        <w:t>实施标准的措施</w:t>
      </w:r>
    </w:p>
    <w:p w14:paraId="67C45D00">
      <w:pPr>
        <w:keepNext w:val="0"/>
        <w:keepLines w:val="0"/>
        <w:pageBreakBefore w:val="0"/>
        <w:kinsoku/>
        <w:overflowPunct/>
        <w:topLinePunct w:val="0"/>
        <w:bidi w:val="0"/>
        <w:snapToGrid/>
        <w:spacing w:line="560" w:lineRule="exact"/>
        <w:ind w:left="0" w:firstLine="643" w:firstLineChars="200"/>
        <w:textAlignment w:val="auto"/>
        <w:rPr>
          <w:rFonts w:ascii="仿宋_GB2312" w:hAnsi="宋体" w:eastAsia="仿宋_GB2312"/>
          <w:b/>
          <w:color w:val="auto"/>
          <w:sz w:val="32"/>
          <w:szCs w:val="28"/>
          <w:highlight w:val="none"/>
        </w:rPr>
      </w:pPr>
      <w:r>
        <w:rPr>
          <w:rFonts w:hint="eastAsia" w:ascii="仿宋_GB2312" w:hAnsi="宋体" w:eastAsia="仿宋_GB2312"/>
          <w:b/>
          <w:color w:val="auto"/>
          <w:sz w:val="32"/>
          <w:szCs w:val="28"/>
          <w:highlight w:val="none"/>
        </w:rPr>
        <w:t>（一）标准报批发布后，成立标准宣贯工作组</w:t>
      </w:r>
    </w:p>
    <w:p w14:paraId="7330B5F1">
      <w:pPr>
        <w:keepNext w:val="0"/>
        <w:keepLines w:val="0"/>
        <w:pageBreakBefore w:val="0"/>
        <w:kinsoku/>
        <w:overflowPunct/>
        <w:topLinePunct w:val="0"/>
        <w:bidi w:val="0"/>
        <w:snapToGrid/>
        <w:spacing w:line="560" w:lineRule="exact"/>
        <w:ind w:left="0" w:firstLine="640" w:firstLineChars="200"/>
        <w:textAlignment w:val="auto"/>
        <w:rPr>
          <w:rFonts w:ascii="仿宋_GB2312" w:hAnsi="宋体" w:eastAsia="仿宋_GB2312"/>
          <w:color w:val="auto"/>
          <w:sz w:val="32"/>
          <w:szCs w:val="28"/>
          <w:highlight w:val="none"/>
        </w:rPr>
      </w:pPr>
      <w:r>
        <w:rPr>
          <w:rFonts w:hint="eastAsia" w:ascii="仿宋_GB2312" w:hAnsi="宋体" w:eastAsia="仿宋_GB2312"/>
          <w:color w:val="auto"/>
          <w:sz w:val="32"/>
          <w:szCs w:val="28"/>
          <w:highlight w:val="none"/>
        </w:rPr>
        <w:t>本标准发布后，成立以主要起草人为成员的标准宣贯工作组，主要负责标准的宣贯实施培训计划制定、标准实施交流会策划、标准实施信息反馈收集和标准实施效果评估等工作，并根据标准实施信息反馈和标准实施效果评估情况，及时组织标准复审修订。</w:t>
      </w:r>
    </w:p>
    <w:p w14:paraId="2EC0E2CD">
      <w:pPr>
        <w:keepNext w:val="0"/>
        <w:keepLines w:val="0"/>
        <w:pageBreakBefore w:val="0"/>
        <w:kinsoku/>
        <w:overflowPunct/>
        <w:topLinePunct w:val="0"/>
        <w:bidi w:val="0"/>
        <w:snapToGrid/>
        <w:spacing w:line="560" w:lineRule="exact"/>
        <w:ind w:left="0" w:firstLine="643" w:firstLineChars="200"/>
        <w:textAlignment w:val="auto"/>
        <w:rPr>
          <w:rFonts w:ascii="仿宋_GB2312" w:hAnsi="宋体" w:eastAsia="仿宋_GB2312"/>
          <w:b/>
          <w:color w:val="auto"/>
          <w:sz w:val="32"/>
          <w:szCs w:val="28"/>
          <w:highlight w:val="none"/>
        </w:rPr>
      </w:pPr>
      <w:r>
        <w:rPr>
          <w:rFonts w:hint="eastAsia" w:ascii="仿宋_GB2312" w:hAnsi="宋体" w:eastAsia="仿宋_GB2312"/>
          <w:b/>
          <w:color w:val="auto"/>
          <w:sz w:val="32"/>
          <w:szCs w:val="28"/>
          <w:highlight w:val="none"/>
        </w:rPr>
        <w:t>（二）组织开展标准宣贯培训</w:t>
      </w:r>
    </w:p>
    <w:p w14:paraId="38C99CE1">
      <w:pPr>
        <w:keepNext w:val="0"/>
        <w:keepLines w:val="0"/>
        <w:pageBreakBefore w:val="0"/>
        <w:kinsoku/>
        <w:overflowPunct/>
        <w:topLinePunct w:val="0"/>
        <w:bidi w:val="0"/>
        <w:snapToGrid/>
        <w:spacing w:line="560" w:lineRule="exact"/>
        <w:ind w:left="0" w:firstLine="640" w:firstLineChars="200"/>
        <w:textAlignment w:val="auto"/>
        <w:rPr>
          <w:rFonts w:ascii="仿宋_GB2312" w:hAnsi="宋体" w:eastAsia="仿宋_GB2312"/>
          <w:color w:val="auto"/>
          <w:sz w:val="32"/>
          <w:szCs w:val="28"/>
          <w:highlight w:val="none"/>
        </w:rPr>
      </w:pPr>
      <w:r>
        <w:rPr>
          <w:rFonts w:hint="eastAsia" w:ascii="仿宋_GB2312" w:hAnsi="宋体" w:eastAsia="仿宋_GB2312"/>
          <w:color w:val="auto"/>
          <w:sz w:val="32"/>
          <w:szCs w:val="28"/>
          <w:highlight w:val="none"/>
        </w:rPr>
        <w:t>标准发布实施后，标准宣贯工作小组制作标准解读宣贯培训PPT课件和标准核心技术明白书，并按标准宣贯培训计划深入各市县相关机构、单位开展标准宣贯培训，对标准进行逐条解读，让技术人员掌握标准核心内容，助力标准实施落地。</w:t>
      </w:r>
    </w:p>
    <w:p w14:paraId="29942561">
      <w:pPr>
        <w:keepNext w:val="0"/>
        <w:keepLines w:val="0"/>
        <w:pageBreakBefore w:val="0"/>
        <w:kinsoku/>
        <w:overflowPunct/>
        <w:topLinePunct w:val="0"/>
        <w:bidi w:val="0"/>
        <w:snapToGrid/>
        <w:spacing w:line="560" w:lineRule="exact"/>
        <w:ind w:left="0" w:firstLine="643" w:firstLineChars="200"/>
        <w:textAlignment w:val="auto"/>
        <w:rPr>
          <w:rFonts w:ascii="仿宋_GB2312" w:hAnsi="宋体" w:eastAsia="仿宋_GB2312"/>
          <w:b/>
          <w:color w:val="auto"/>
          <w:sz w:val="32"/>
          <w:szCs w:val="28"/>
          <w:highlight w:val="none"/>
        </w:rPr>
      </w:pPr>
      <w:r>
        <w:rPr>
          <w:rFonts w:hint="eastAsia" w:ascii="仿宋_GB2312" w:hAnsi="宋体" w:eastAsia="仿宋_GB2312"/>
          <w:b/>
          <w:color w:val="auto"/>
          <w:sz w:val="32"/>
          <w:szCs w:val="28"/>
          <w:highlight w:val="none"/>
        </w:rPr>
        <w:t>（三）开展标准实施交流会，收集标准实施反馈信息</w:t>
      </w:r>
    </w:p>
    <w:p w14:paraId="336AB236">
      <w:pPr>
        <w:keepNext w:val="0"/>
        <w:keepLines w:val="0"/>
        <w:pageBreakBefore w:val="0"/>
        <w:kinsoku/>
        <w:overflowPunct/>
        <w:topLinePunct w:val="0"/>
        <w:bidi w:val="0"/>
        <w:snapToGrid/>
        <w:spacing w:line="560" w:lineRule="exact"/>
        <w:ind w:left="0" w:firstLine="640" w:firstLineChars="200"/>
        <w:textAlignment w:val="auto"/>
        <w:rPr>
          <w:rFonts w:ascii="仿宋_GB2312" w:hAnsi="宋体" w:eastAsia="仿宋_GB2312"/>
          <w:color w:val="auto"/>
          <w:sz w:val="32"/>
          <w:szCs w:val="28"/>
          <w:highlight w:val="none"/>
        </w:rPr>
      </w:pPr>
      <w:r>
        <w:rPr>
          <w:rFonts w:hint="eastAsia" w:ascii="仿宋_GB2312" w:hAnsi="宋体" w:eastAsia="仿宋_GB2312"/>
          <w:color w:val="auto"/>
          <w:sz w:val="32"/>
          <w:szCs w:val="28"/>
          <w:highlight w:val="none"/>
        </w:rPr>
        <w:t>标准起草小组深入各市县相关机构、单位组织技术人员召开标准实施交流会，听取标准实施过程中存在的问题并做好记录和解答，对存在的问题组织专家团队进行研讨，为标准的复审修订做准备。</w:t>
      </w:r>
    </w:p>
    <w:p w14:paraId="1F438F65">
      <w:pPr>
        <w:keepNext w:val="0"/>
        <w:keepLines w:val="0"/>
        <w:pageBreakBefore w:val="0"/>
        <w:kinsoku/>
        <w:overflowPunct/>
        <w:topLinePunct w:val="0"/>
        <w:bidi w:val="0"/>
        <w:snapToGrid/>
        <w:spacing w:line="560" w:lineRule="exact"/>
        <w:ind w:left="0" w:firstLine="643" w:firstLineChars="200"/>
        <w:textAlignment w:val="auto"/>
        <w:rPr>
          <w:rFonts w:ascii="仿宋_GB2312" w:hAnsi="宋体" w:eastAsia="仿宋_GB2312"/>
          <w:b/>
          <w:color w:val="auto"/>
          <w:sz w:val="32"/>
          <w:szCs w:val="28"/>
          <w:highlight w:val="none"/>
        </w:rPr>
      </w:pPr>
      <w:r>
        <w:rPr>
          <w:rFonts w:hint="eastAsia" w:ascii="仿宋_GB2312" w:hAnsi="宋体" w:eastAsia="仿宋_GB2312"/>
          <w:b/>
          <w:color w:val="auto"/>
          <w:sz w:val="32"/>
          <w:szCs w:val="28"/>
          <w:highlight w:val="none"/>
        </w:rPr>
        <w:t>（四）开展标准实施效果评估</w:t>
      </w:r>
    </w:p>
    <w:p w14:paraId="7DE0DDFE">
      <w:pPr>
        <w:keepNext w:val="0"/>
        <w:keepLines w:val="0"/>
        <w:pageBreakBefore w:val="0"/>
        <w:kinsoku/>
        <w:overflowPunct/>
        <w:topLinePunct w:val="0"/>
        <w:bidi w:val="0"/>
        <w:snapToGrid/>
        <w:spacing w:line="560" w:lineRule="exact"/>
        <w:ind w:left="0" w:firstLine="640" w:firstLineChars="200"/>
        <w:textAlignment w:val="auto"/>
        <w:rPr>
          <w:rFonts w:ascii="仿宋_GB2312" w:hAnsi="宋体" w:eastAsia="仿宋_GB2312"/>
          <w:color w:val="auto"/>
          <w:sz w:val="32"/>
          <w:szCs w:val="28"/>
          <w:highlight w:val="none"/>
        </w:rPr>
      </w:pPr>
      <w:r>
        <w:rPr>
          <w:rFonts w:hint="eastAsia" w:ascii="仿宋_GB2312" w:hAnsi="宋体" w:eastAsia="仿宋_GB2312"/>
          <w:color w:val="auto"/>
          <w:sz w:val="32"/>
          <w:szCs w:val="28"/>
          <w:highlight w:val="none"/>
        </w:rPr>
        <w:t>标准实施满2年，每年标准宣贯工作组采取网络调查、问卷调查、实地调研、召开座谈会或论证会、专家咨询等方式开展标准实施效果评估，并形成标准实施效果评估报告，为标准的复审修订做准备。</w:t>
      </w:r>
    </w:p>
    <w:p w14:paraId="36B16457">
      <w:pPr>
        <w:keepNext w:val="0"/>
        <w:keepLines w:val="0"/>
        <w:pageBreakBefore w:val="0"/>
        <w:kinsoku/>
        <w:overflowPunct/>
        <w:topLinePunct w:val="0"/>
        <w:autoSpaceDE w:val="0"/>
        <w:autoSpaceDN w:val="0"/>
        <w:bidi w:val="0"/>
        <w:adjustRightInd w:val="0"/>
        <w:snapToGrid/>
        <w:spacing w:line="560" w:lineRule="exact"/>
        <w:ind w:left="0" w:firstLine="640" w:firstLineChars="200"/>
        <w:jc w:val="left"/>
        <w:textAlignment w:val="auto"/>
        <w:rPr>
          <w:rFonts w:ascii="黑体" w:hAnsi="黑体" w:eastAsia="黑体" w:cs="仿宋_GB2312"/>
          <w:color w:val="auto"/>
          <w:sz w:val="32"/>
          <w:szCs w:val="32"/>
          <w:highlight w:val="none"/>
        </w:rPr>
      </w:pPr>
      <w:r>
        <w:rPr>
          <w:rFonts w:hint="eastAsia" w:ascii="黑体" w:hAnsi="黑体" w:eastAsia="黑体" w:cs="仿宋_GB2312"/>
          <w:color w:val="auto"/>
          <w:sz w:val="32"/>
          <w:szCs w:val="32"/>
          <w:highlight w:val="none"/>
        </w:rPr>
        <w:t>八、其他应当说明的事项</w:t>
      </w:r>
    </w:p>
    <w:p w14:paraId="0FDE70D6">
      <w:pPr>
        <w:keepNext w:val="0"/>
        <w:keepLines w:val="0"/>
        <w:pageBreakBefore w:val="0"/>
        <w:kinsoku/>
        <w:overflowPunct/>
        <w:topLinePunct w:val="0"/>
        <w:bidi w:val="0"/>
        <w:snapToGrid/>
        <w:spacing w:line="560" w:lineRule="exact"/>
        <w:ind w:left="0" w:firstLine="640" w:firstLineChars="200"/>
        <w:textAlignment w:val="auto"/>
        <w:rPr>
          <w:rFonts w:hint="eastAsia" w:ascii="仿宋_GB2312" w:hAnsi="宋体" w:eastAsia="仿宋_GB2312"/>
          <w:color w:val="auto"/>
          <w:sz w:val="32"/>
          <w:szCs w:val="28"/>
          <w:highlight w:val="none"/>
        </w:rPr>
      </w:pPr>
      <w:r>
        <w:rPr>
          <w:rFonts w:hint="eastAsia" w:ascii="仿宋_GB2312" w:hAnsi="宋体" w:eastAsia="仿宋_GB2312"/>
          <w:color w:val="auto"/>
          <w:sz w:val="32"/>
          <w:szCs w:val="28"/>
          <w:highlight w:val="none"/>
        </w:rPr>
        <w:t>无。</w:t>
      </w:r>
    </w:p>
    <w:p w14:paraId="1A395443">
      <w:pPr>
        <w:keepNext w:val="0"/>
        <w:keepLines w:val="0"/>
        <w:pageBreakBefore w:val="0"/>
        <w:kinsoku/>
        <w:overflowPunct/>
        <w:topLinePunct w:val="0"/>
        <w:bidi w:val="0"/>
        <w:snapToGrid/>
        <w:spacing w:line="560" w:lineRule="exact"/>
        <w:ind w:left="0" w:firstLine="640" w:firstLineChars="200"/>
        <w:textAlignment w:val="auto"/>
        <w:rPr>
          <w:rFonts w:hint="eastAsia" w:ascii="仿宋_GB2312" w:hAnsi="宋体" w:eastAsia="仿宋_GB2312"/>
          <w:color w:val="auto"/>
          <w:sz w:val="32"/>
          <w:szCs w:val="28"/>
          <w:highlight w:val="none"/>
        </w:rPr>
      </w:pPr>
    </w:p>
    <w:p w14:paraId="639B864D">
      <w:pPr>
        <w:keepNext w:val="0"/>
        <w:keepLines w:val="0"/>
        <w:pageBreakBefore w:val="0"/>
        <w:kinsoku/>
        <w:wordWrap w:val="0"/>
        <w:overflowPunct/>
        <w:topLinePunct w:val="0"/>
        <w:bidi w:val="0"/>
        <w:snapToGrid/>
        <w:spacing w:line="560" w:lineRule="exact"/>
        <w:ind w:left="0"/>
        <w:jc w:val="right"/>
        <w:textAlignment w:val="auto"/>
        <w:rPr>
          <w:rFonts w:ascii="仿宋_GB2312" w:hAnsi="宋体" w:eastAsia="仿宋_GB2312"/>
          <w:color w:val="auto"/>
          <w:sz w:val="32"/>
          <w:szCs w:val="28"/>
          <w:highlight w:val="none"/>
        </w:rPr>
      </w:pPr>
      <w:r>
        <w:rPr>
          <w:rFonts w:hint="eastAsia" w:ascii="仿宋_GB2312" w:hAnsi="宋体" w:eastAsia="仿宋_GB2312"/>
          <w:color w:val="auto"/>
          <w:sz w:val="32"/>
          <w:szCs w:val="28"/>
          <w:highlight w:val="none"/>
        </w:rPr>
        <w:t>团体标准《糖料蔗单芽种茎（苗）机械化栽培技术规程》</w:t>
      </w:r>
    </w:p>
    <w:p w14:paraId="1ABDAA14">
      <w:pPr>
        <w:keepNext w:val="0"/>
        <w:keepLines w:val="0"/>
        <w:pageBreakBefore w:val="0"/>
        <w:kinsoku/>
        <w:wordWrap w:val="0"/>
        <w:overflowPunct/>
        <w:topLinePunct w:val="0"/>
        <w:bidi w:val="0"/>
        <w:snapToGrid/>
        <w:spacing w:line="560" w:lineRule="exact"/>
        <w:ind w:left="0"/>
        <w:jc w:val="right"/>
        <w:textAlignment w:val="auto"/>
        <w:rPr>
          <w:rFonts w:hint="eastAsia" w:ascii="仿宋_GB2312" w:hAnsi="宋体" w:eastAsia="仿宋_GB2312"/>
          <w:color w:val="auto"/>
          <w:sz w:val="32"/>
          <w:szCs w:val="28"/>
          <w:highlight w:val="none"/>
        </w:rPr>
      </w:pPr>
    </w:p>
    <w:p w14:paraId="607C1987">
      <w:pPr>
        <w:keepNext w:val="0"/>
        <w:keepLines w:val="0"/>
        <w:pageBreakBefore w:val="0"/>
        <w:kinsoku/>
        <w:wordWrap w:val="0"/>
        <w:overflowPunct/>
        <w:topLinePunct w:val="0"/>
        <w:bidi w:val="0"/>
        <w:snapToGrid/>
        <w:spacing w:line="560" w:lineRule="exact"/>
        <w:ind w:left="0"/>
        <w:jc w:val="right"/>
        <w:textAlignment w:val="auto"/>
        <w:rPr>
          <w:rFonts w:ascii="仿宋_GB2312" w:hAnsi="宋体" w:eastAsia="仿宋_GB2312"/>
          <w:color w:val="auto"/>
          <w:sz w:val="32"/>
          <w:szCs w:val="28"/>
          <w:highlight w:val="none"/>
        </w:rPr>
      </w:pPr>
      <w:r>
        <w:rPr>
          <w:rFonts w:hint="eastAsia" w:ascii="仿宋_GB2312" w:hAnsi="宋体" w:eastAsia="仿宋_GB2312"/>
          <w:color w:val="auto"/>
          <w:sz w:val="32"/>
          <w:szCs w:val="28"/>
          <w:highlight w:val="none"/>
        </w:rPr>
        <w:t xml:space="preserve">标准编制工作组 </w:t>
      </w:r>
      <w:r>
        <w:rPr>
          <w:rFonts w:ascii="仿宋_GB2312" w:hAnsi="宋体" w:eastAsia="仿宋_GB2312"/>
          <w:color w:val="auto"/>
          <w:sz w:val="32"/>
          <w:szCs w:val="28"/>
          <w:highlight w:val="none"/>
        </w:rPr>
        <w:t xml:space="preserve">        </w:t>
      </w:r>
    </w:p>
    <w:p w14:paraId="79A5CB78">
      <w:pPr>
        <w:keepNext w:val="0"/>
        <w:keepLines w:val="0"/>
        <w:pageBreakBefore w:val="0"/>
        <w:kinsoku/>
        <w:wordWrap w:val="0"/>
        <w:overflowPunct/>
        <w:topLinePunct w:val="0"/>
        <w:bidi w:val="0"/>
        <w:snapToGrid/>
        <w:spacing w:line="560" w:lineRule="exact"/>
        <w:ind w:left="0"/>
        <w:jc w:val="right"/>
        <w:textAlignment w:val="auto"/>
        <w:rPr>
          <w:rFonts w:ascii="仿宋_GB2312" w:hAnsi="宋体" w:eastAsia="仿宋_GB2312"/>
          <w:color w:val="auto"/>
          <w:sz w:val="32"/>
          <w:szCs w:val="28"/>
          <w:highlight w:val="none"/>
        </w:rPr>
      </w:pPr>
      <w:r>
        <w:rPr>
          <w:rFonts w:hint="eastAsia" w:ascii="仿宋_GB2312" w:hAnsi="宋体" w:eastAsia="仿宋_GB2312"/>
          <w:color w:val="auto"/>
          <w:sz w:val="32"/>
          <w:szCs w:val="28"/>
          <w:highlight w:val="none"/>
        </w:rPr>
        <w:t>20</w:t>
      </w:r>
      <w:r>
        <w:rPr>
          <w:rFonts w:hint="eastAsia" w:ascii="仿宋_GB2312" w:hAnsi="宋体"/>
          <w:color w:val="auto"/>
          <w:sz w:val="32"/>
          <w:szCs w:val="28"/>
          <w:highlight w:val="none"/>
          <w:lang w:val="en-US" w:eastAsia="zh-CN"/>
        </w:rPr>
        <w:t>26</w:t>
      </w:r>
      <w:r>
        <w:rPr>
          <w:rFonts w:hint="eastAsia" w:ascii="仿宋_GB2312" w:hAnsi="宋体" w:eastAsia="仿宋_GB2312"/>
          <w:color w:val="auto"/>
          <w:sz w:val="32"/>
          <w:szCs w:val="28"/>
          <w:highlight w:val="none"/>
        </w:rPr>
        <w:t>年</w:t>
      </w:r>
      <w:r>
        <w:rPr>
          <w:rFonts w:hint="eastAsia" w:ascii="仿宋_GB2312" w:hAnsi="宋体"/>
          <w:color w:val="auto"/>
          <w:sz w:val="32"/>
          <w:szCs w:val="28"/>
          <w:highlight w:val="none"/>
          <w:lang w:val="en-US" w:eastAsia="zh-CN"/>
        </w:rPr>
        <w:t>6</w:t>
      </w:r>
      <w:r>
        <w:rPr>
          <w:rFonts w:hint="eastAsia" w:ascii="仿宋_GB2312" w:hAnsi="宋体" w:eastAsia="仿宋_GB2312"/>
          <w:color w:val="auto"/>
          <w:sz w:val="32"/>
          <w:szCs w:val="28"/>
          <w:highlight w:val="none"/>
        </w:rPr>
        <w:t>月</w:t>
      </w:r>
      <w:r>
        <w:rPr>
          <w:rFonts w:hint="eastAsia" w:ascii="仿宋_GB2312" w:hAnsi="宋体"/>
          <w:color w:val="auto"/>
          <w:sz w:val="32"/>
          <w:szCs w:val="28"/>
          <w:highlight w:val="none"/>
          <w:lang w:val="en-US" w:eastAsia="zh-CN"/>
        </w:rPr>
        <w:t>2</w:t>
      </w:r>
      <w:bookmarkStart w:id="6" w:name="_GoBack"/>
      <w:bookmarkEnd w:id="6"/>
      <w:r>
        <w:rPr>
          <w:rFonts w:hint="eastAsia" w:ascii="仿宋_GB2312" w:hAnsi="宋体" w:eastAsia="仿宋_GB2312"/>
          <w:color w:val="auto"/>
          <w:sz w:val="32"/>
          <w:szCs w:val="28"/>
          <w:highlight w:val="none"/>
        </w:rPr>
        <w:t xml:space="preserve">日 </w:t>
      </w:r>
      <w:r>
        <w:rPr>
          <w:rFonts w:hint="eastAsia" w:ascii="仿宋_GB2312" w:hAnsi="宋体"/>
          <w:color w:val="auto"/>
          <w:sz w:val="32"/>
          <w:szCs w:val="28"/>
          <w:highlight w:val="none"/>
          <w:lang w:val="en-US" w:eastAsia="zh-CN"/>
        </w:rPr>
        <w:t xml:space="preserve">     </w:t>
      </w:r>
      <w:r>
        <w:rPr>
          <w:rFonts w:hint="eastAsia" w:ascii="仿宋_GB2312" w:hAnsi="宋体" w:eastAsia="仿宋_GB2312"/>
          <w:color w:val="auto"/>
          <w:sz w:val="32"/>
          <w:szCs w:val="28"/>
          <w:highlight w:val="none"/>
        </w:rPr>
        <w:t xml:space="preserve"> </w:t>
      </w:r>
      <w:r>
        <w:rPr>
          <w:rFonts w:ascii="仿宋_GB2312" w:hAnsi="宋体" w:eastAsia="仿宋_GB2312"/>
          <w:color w:val="auto"/>
          <w:sz w:val="32"/>
          <w:szCs w:val="28"/>
          <w:highlight w:val="none"/>
        </w:rPr>
        <w:t xml:space="preserve"> </w:t>
      </w:r>
    </w:p>
    <w:sectPr>
      <w:footerReference r:id="rId5" w:type="default"/>
      <w:pgSz w:w="11906" w:h="16838"/>
      <w:pgMar w:top="1474" w:right="1474" w:bottom="1474" w:left="1474"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ind w:firstLine="640"/>
      </w:pPr>
      <w:r>
        <w:separator/>
      </w:r>
    </w:p>
  </w:endnote>
  <w:endnote w:type="continuationSeparator" w:id="1">
    <w:p>
      <w:pPr>
        <w:ind w:firstLine="64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roman"/>
    <w:pitch w:val="default"/>
    <w:sig w:usb0="E0002EFF" w:usb1="C000785B" w:usb2="00000009" w:usb3="00000000" w:csb0="400001FF" w:csb1="FFFF0000"/>
  </w:font>
  <w:font w:name="宋体">
    <w:panose1 w:val="02010600030101010101"/>
    <w:charset w:val="80"/>
    <w:family w:val="roman"/>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方正小标宋简体">
    <w:panose1 w:val="03000509000000000000"/>
    <w:charset w:val="86"/>
    <w:family w:val="script"/>
    <w:pitch w:val="default"/>
    <w:sig w:usb0="00000001" w:usb1="080E0000" w:usb2="00000000" w:usb3="00000000" w:csb0="00040000" w:csb1="00000000"/>
  </w:font>
  <w:font w:name="等线">
    <w:panose1 w:val="02010600030101010101"/>
    <w:charset w:val="86"/>
    <w:family w:val="auto"/>
    <w:pitch w:val="default"/>
    <w:sig w:usb0="A00002BF" w:usb1="38CF7CFA" w:usb2="00000016" w:usb3="00000000" w:csb0="0004000F" w:csb1="00000000"/>
  </w:font>
  <w:font w:name="楷体">
    <w:panose1 w:val="02010609060101010101"/>
    <w:charset w:val="86"/>
    <w:family w:val="modern"/>
    <w:pitch w:val="default"/>
    <w:sig w:usb0="800002BF" w:usb1="38CF7CFA" w:usb2="00000016" w:usb3="00000000" w:csb0="00040001" w:csb1="00000000"/>
  </w:font>
  <w:font w:name="仿宋">
    <w:panose1 w:val="02010609060101010101"/>
    <w:charset w:val="86"/>
    <w:family w:val="modern"/>
    <w:pitch w:val="default"/>
    <w:sig w:usb0="800002BF" w:usb1="38CF7CFA" w:usb2="00000016" w:usb3="00000000" w:csb0="00040001" w:csb1="00000000"/>
  </w:font>
  <w:font w:name="Segoe UI">
    <w:panose1 w:val="020B0502040204020203"/>
    <w:charset w:val="00"/>
    <w:family w:val="auto"/>
    <w:pitch w:val="default"/>
    <w:sig w:usb0="E4002EFF" w:usb1="C000E47F" w:usb2="00000009" w:usb3="00000000" w:csb0="200001FF" w:csb1="00000000"/>
  </w:font>
  <w:font w:name="FZHei-B01S">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 w:name="方正仿宋_GB2312">
    <w:panose1 w:val="02000000000000000000"/>
    <w:charset w:val="86"/>
    <w:family w:val="auto"/>
    <w:pitch w:val="default"/>
    <w:sig w:usb0="A00002BF" w:usb1="184F6CFA" w:usb2="00000012"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213316374"/>
      <w:docPartObj>
        <w:docPartGallery w:val="autotext"/>
      </w:docPartObj>
    </w:sdtPr>
    <w:sdtContent>
      <w:p w14:paraId="2BE1229F">
        <w:pPr>
          <w:pStyle w:val="3"/>
          <w:jc w:val="center"/>
        </w:pPr>
        <w:r>
          <w:fldChar w:fldCharType="begin"/>
        </w:r>
        <w:r>
          <w:instrText xml:space="preserve">PAGE   \* MERGEFORMAT</w:instrText>
        </w:r>
        <w:r>
          <w:fldChar w:fldCharType="separate"/>
        </w:r>
        <w:r>
          <w:rPr>
            <w:lang w:val="zh-CN"/>
          </w:rPr>
          <w:t>7</w:t>
        </w:r>
        <w:r>
          <w:fldChar w:fldCharType="end"/>
        </w:r>
      </w:p>
    </w:sdtContent>
  </w:sdt>
  <w:p w14:paraId="76F9E80E">
    <w:pPr>
      <w:pStyle w:val="3"/>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ind w:firstLine="640"/>
      </w:pPr>
      <w:r>
        <w:separator/>
      </w:r>
    </w:p>
  </w:footnote>
  <w:footnote w:type="continuationSeparator" w:id="1">
    <w:p>
      <w:pPr>
        <w:ind w:firstLine="64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79102AD"/>
    <w:multiLevelType w:val="multilevel"/>
    <w:tmpl w:val="079102AD"/>
    <w:lvl w:ilvl="0" w:tentative="0">
      <w:start w:val="1"/>
      <w:numFmt w:val="decimal"/>
      <w:pStyle w:val="21"/>
      <w:suff w:val="nothing"/>
      <w:lvlText w:val="注%1："/>
      <w:lvlJc w:val="left"/>
      <w:pPr>
        <w:ind w:left="811" w:hanging="448"/>
      </w:pPr>
      <w:rPr>
        <w:rFonts w:hint="eastAsia" w:ascii="黑体" w:eastAsia="黑体"/>
        <w:b w:val="0"/>
        <w:i w:val="0"/>
        <w:sz w:val="18"/>
        <w:lang w:val="en-US"/>
      </w:rPr>
    </w:lvl>
    <w:lvl w:ilvl="1" w:tentative="0">
      <w:start w:val="1"/>
      <w:numFmt w:val="lowerLetter"/>
      <w:lvlText w:val="%2)"/>
      <w:lvlJc w:val="left"/>
      <w:pPr>
        <w:tabs>
          <w:tab w:val="left" w:pos="0"/>
        </w:tabs>
        <w:ind w:left="992" w:hanging="629"/>
      </w:pPr>
      <w:rPr>
        <w:rFonts w:hint="eastAsia"/>
      </w:rPr>
    </w:lvl>
    <w:lvl w:ilvl="2" w:tentative="0">
      <w:start w:val="1"/>
      <w:numFmt w:val="lowerRoman"/>
      <w:lvlText w:val="%3."/>
      <w:lvlJc w:val="right"/>
      <w:pPr>
        <w:tabs>
          <w:tab w:val="left" w:pos="0"/>
        </w:tabs>
        <w:ind w:left="992" w:hanging="629"/>
      </w:pPr>
      <w:rPr>
        <w:rFonts w:hint="eastAsia"/>
      </w:rPr>
    </w:lvl>
    <w:lvl w:ilvl="3" w:tentative="0">
      <w:start w:val="1"/>
      <w:numFmt w:val="decimal"/>
      <w:lvlText w:val="%4."/>
      <w:lvlJc w:val="left"/>
      <w:pPr>
        <w:tabs>
          <w:tab w:val="left" w:pos="0"/>
        </w:tabs>
        <w:ind w:left="992" w:hanging="629"/>
      </w:pPr>
      <w:rPr>
        <w:rFonts w:hint="eastAsia"/>
      </w:rPr>
    </w:lvl>
    <w:lvl w:ilvl="4" w:tentative="0">
      <w:start w:val="1"/>
      <w:numFmt w:val="lowerLetter"/>
      <w:lvlText w:val="%5)"/>
      <w:lvlJc w:val="left"/>
      <w:pPr>
        <w:tabs>
          <w:tab w:val="left" w:pos="0"/>
        </w:tabs>
        <w:ind w:left="992" w:hanging="629"/>
      </w:pPr>
      <w:rPr>
        <w:rFonts w:hint="eastAsia"/>
      </w:rPr>
    </w:lvl>
    <w:lvl w:ilvl="5" w:tentative="0">
      <w:start w:val="1"/>
      <w:numFmt w:val="lowerRoman"/>
      <w:lvlText w:val="%6."/>
      <w:lvlJc w:val="right"/>
      <w:pPr>
        <w:tabs>
          <w:tab w:val="left" w:pos="0"/>
        </w:tabs>
        <w:ind w:left="992" w:hanging="629"/>
      </w:pPr>
      <w:rPr>
        <w:rFonts w:hint="eastAsia"/>
      </w:rPr>
    </w:lvl>
    <w:lvl w:ilvl="6" w:tentative="0">
      <w:start w:val="1"/>
      <w:numFmt w:val="decimal"/>
      <w:lvlText w:val="%7."/>
      <w:lvlJc w:val="left"/>
      <w:pPr>
        <w:tabs>
          <w:tab w:val="left" w:pos="0"/>
        </w:tabs>
        <w:ind w:left="992" w:hanging="629"/>
      </w:pPr>
      <w:rPr>
        <w:rFonts w:hint="eastAsia"/>
      </w:rPr>
    </w:lvl>
    <w:lvl w:ilvl="7" w:tentative="0">
      <w:start w:val="1"/>
      <w:numFmt w:val="lowerLetter"/>
      <w:lvlText w:val="%8)"/>
      <w:lvlJc w:val="left"/>
      <w:pPr>
        <w:tabs>
          <w:tab w:val="left" w:pos="0"/>
        </w:tabs>
        <w:ind w:left="992" w:hanging="629"/>
      </w:pPr>
      <w:rPr>
        <w:rFonts w:hint="eastAsia"/>
      </w:rPr>
    </w:lvl>
    <w:lvl w:ilvl="8" w:tentative="0">
      <w:start w:val="1"/>
      <w:numFmt w:val="lowerRoman"/>
      <w:lvlText w:val="%9."/>
      <w:lvlJc w:val="right"/>
      <w:pPr>
        <w:tabs>
          <w:tab w:val="left" w:pos="0"/>
        </w:tabs>
        <w:ind w:left="992" w:hanging="629"/>
      </w:pPr>
      <w:rPr>
        <w:rFonts w:hint="eastAsia"/>
      </w:rPr>
    </w:lvl>
  </w:abstractNum>
  <w:abstractNum w:abstractNumId="1">
    <w:nsid w:val="0DDE2B46"/>
    <w:multiLevelType w:val="multilevel"/>
    <w:tmpl w:val="0DDE2B46"/>
    <w:lvl w:ilvl="0" w:tentative="0">
      <w:start w:val="1"/>
      <w:numFmt w:val="lowerLetter"/>
      <w:pStyle w:val="25"/>
      <w:suff w:val="nothing"/>
      <w:lvlText w:val="%1   "/>
      <w:lvlJc w:val="left"/>
      <w:pPr>
        <w:ind w:left="544" w:hanging="181"/>
      </w:pPr>
      <w:rPr>
        <w:rFonts w:hint="eastAsia" w:ascii="宋体" w:hAnsi="宋体" w:eastAsia="宋体"/>
        <w:b w:val="0"/>
        <w:i w:val="0"/>
        <w:sz w:val="18"/>
        <w:vertAlign w:val="superscript"/>
      </w:rPr>
    </w:lvl>
    <w:lvl w:ilvl="1" w:tentative="0">
      <w:start w:val="1"/>
      <w:numFmt w:val="lowerLetter"/>
      <w:lvlText w:val="%2"/>
      <w:lvlJc w:val="left"/>
      <w:pPr>
        <w:tabs>
          <w:tab w:val="left" w:pos="57"/>
        </w:tabs>
        <w:ind w:left="363" w:hanging="363"/>
      </w:pPr>
      <w:rPr>
        <w:rFonts w:hint="eastAsia"/>
      </w:rPr>
    </w:lvl>
    <w:lvl w:ilvl="2" w:tentative="0">
      <w:start w:val="1"/>
      <w:numFmt w:val="lowerRoman"/>
      <w:lvlText w:val="%3."/>
      <w:lvlJc w:val="right"/>
      <w:pPr>
        <w:tabs>
          <w:tab w:val="left" w:pos="57"/>
        </w:tabs>
        <w:ind w:left="363" w:hanging="363"/>
      </w:pPr>
      <w:rPr>
        <w:rFonts w:hint="eastAsia"/>
      </w:rPr>
    </w:lvl>
    <w:lvl w:ilvl="3" w:tentative="0">
      <w:start w:val="1"/>
      <w:numFmt w:val="decimal"/>
      <w:lvlText w:val="%4."/>
      <w:lvlJc w:val="left"/>
      <w:pPr>
        <w:tabs>
          <w:tab w:val="left" w:pos="57"/>
        </w:tabs>
        <w:ind w:left="363" w:hanging="363"/>
      </w:pPr>
      <w:rPr>
        <w:rFonts w:hint="eastAsia"/>
      </w:rPr>
    </w:lvl>
    <w:lvl w:ilvl="4" w:tentative="0">
      <w:start w:val="1"/>
      <w:numFmt w:val="lowerLetter"/>
      <w:lvlText w:val="%5)"/>
      <w:lvlJc w:val="left"/>
      <w:pPr>
        <w:tabs>
          <w:tab w:val="left" w:pos="57"/>
        </w:tabs>
        <w:ind w:left="363" w:hanging="363"/>
      </w:pPr>
      <w:rPr>
        <w:rFonts w:hint="eastAsia"/>
      </w:rPr>
    </w:lvl>
    <w:lvl w:ilvl="5" w:tentative="0">
      <w:start w:val="1"/>
      <w:numFmt w:val="lowerRoman"/>
      <w:lvlText w:val="%6."/>
      <w:lvlJc w:val="right"/>
      <w:pPr>
        <w:tabs>
          <w:tab w:val="left" w:pos="57"/>
        </w:tabs>
        <w:ind w:left="363" w:hanging="363"/>
      </w:pPr>
      <w:rPr>
        <w:rFonts w:hint="eastAsia"/>
      </w:rPr>
    </w:lvl>
    <w:lvl w:ilvl="6" w:tentative="0">
      <w:start w:val="1"/>
      <w:numFmt w:val="decimal"/>
      <w:lvlText w:val="%7."/>
      <w:lvlJc w:val="left"/>
      <w:pPr>
        <w:tabs>
          <w:tab w:val="left" w:pos="57"/>
        </w:tabs>
        <w:ind w:left="363" w:hanging="363"/>
      </w:pPr>
      <w:rPr>
        <w:rFonts w:hint="eastAsia"/>
      </w:rPr>
    </w:lvl>
    <w:lvl w:ilvl="7" w:tentative="0">
      <w:start w:val="1"/>
      <w:numFmt w:val="lowerLetter"/>
      <w:lvlText w:val="%8)"/>
      <w:lvlJc w:val="left"/>
      <w:pPr>
        <w:tabs>
          <w:tab w:val="left" w:pos="57"/>
        </w:tabs>
        <w:ind w:left="363" w:hanging="363"/>
      </w:pPr>
      <w:rPr>
        <w:rFonts w:hint="eastAsia"/>
      </w:rPr>
    </w:lvl>
    <w:lvl w:ilvl="8" w:tentative="0">
      <w:start w:val="1"/>
      <w:numFmt w:val="lowerRoman"/>
      <w:lvlText w:val="%9."/>
      <w:lvlJc w:val="right"/>
      <w:pPr>
        <w:tabs>
          <w:tab w:val="left" w:pos="57"/>
        </w:tabs>
        <w:ind w:left="363" w:hanging="363"/>
      </w:pPr>
      <w:rPr>
        <w:rFonts w:hint="eastAsia"/>
      </w:rPr>
    </w:lvl>
  </w:abstractNum>
  <w:abstractNum w:abstractNumId="2">
    <w:nsid w:val="1DBF583A"/>
    <w:multiLevelType w:val="multilevel"/>
    <w:tmpl w:val="1DBF583A"/>
    <w:lvl w:ilvl="0" w:tentative="0">
      <w:start w:val="1"/>
      <w:numFmt w:val="decimal"/>
      <w:pStyle w:val="24"/>
      <w:suff w:val="nothing"/>
      <w:lvlText w:val="注%1："/>
      <w:lvlJc w:val="left"/>
      <w:pPr>
        <w:ind w:left="811" w:hanging="448"/>
      </w:pPr>
      <w:rPr>
        <w:rFonts w:hint="eastAsia" w:ascii="黑体" w:eastAsia="黑体"/>
        <w:b w:val="0"/>
        <w:i w:val="0"/>
        <w:sz w:val="18"/>
        <w:szCs w:val="18"/>
        <w:vertAlign w:val="baseline"/>
      </w:rPr>
    </w:lvl>
    <w:lvl w:ilvl="1" w:tentative="0">
      <w:start w:val="1"/>
      <w:numFmt w:val="lowerLetter"/>
      <w:lvlText w:val="%2)"/>
      <w:lvlJc w:val="left"/>
      <w:pPr>
        <w:tabs>
          <w:tab w:val="left" w:pos="180"/>
        </w:tabs>
        <w:ind w:left="1172" w:hanging="629"/>
      </w:pPr>
      <w:rPr>
        <w:rFonts w:hint="eastAsia"/>
        <w:vertAlign w:val="baseline"/>
      </w:rPr>
    </w:lvl>
    <w:lvl w:ilvl="2" w:tentative="0">
      <w:start w:val="1"/>
      <w:numFmt w:val="lowerRoman"/>
      <w:lvlText w:val="%3."/>
      <w:lvlJc w:val="right"/>
      <w:pPr>
        <w:tabs>
          <w:tab w:val="left" w:pos="180"/>
        </w:tabs>
        <w:ind w:left="1172" w:hanging="629"/>
      </w:pPr>
      <w:rPr>
        <w:rFonts w:hint="eastAsia"/>
        <w:vertAlign w:val="baseline"/>
      </w:rPr>
    </w:lvl>
    <w:lvl w:ilvl="3" w:tentative="0">
      <w:start w:val="1"/>
      <w:numFmt w:val="decimal"/>
      <w:lvlText w:val="%4."/>
      <w:lvlJc w:val="left"/>
      <w:pPr>
        <w:tabs>
          <w:tab w:val="left" w:pos="180"/>
        </w:tabs>
        <w:ind w:left="1172" w:hanging="629"/>
      </w:pPr>
      <w:rPr>
        <w:rFonts w:hint="eastAsia"/>
        <w:vertAlign w:val="baseline"/>
      </w:rPr>
    </w:lvl>
    <w:lvl w:ilvl="4" w:tentative="0">
      <w:start w:val="1"/>
      <w:numFmt w:val="lowerLetter"/>
      <w:lvlText w:val="%5)"/>
      <w:lvlJc w:val="left"/>
      <w:pPr>
        <w:tabs>
          <w:tab w:val="left" w:pos="180"/>
        </w:tabs>
        <w:ind w:left="1172" w:hanging="629"/>
      </w:pPr>
      <w:rPr>
        <w:rFonts w:hint="eastAsia"/>
        <w:vertAlign w:val="baseline"/>
      </w:rPr>
    </w:lvl>
    <w:lvl w:ilvl="5" w:tentative="0">
      <w:start w:val="1"/>
      <w:numFmt w:val="lowerRoman"/>
      <w:lvlText w:val="%6."/>
      <w:lvlJc w:val="right"/>
      <w:pPr>
        <w:tabs>
          <w:tab w:val="left" w:pos="180"/>
        </w:tabs>
        <w:ind w:left="1172" w:hanging="629"/>
      </w:pPr>
      <w:rPr>
        <w:rFonts w:hint="eastAsia"/>
        <w:vertAlign w:val="baseline"/>
      </w:rPr>
    </w:lvl>
    <w:lvl w:ilvl="6" w:tentative="0">
      <w:start w:val="1"/>
      <w:numFmt w:val="decimal"/>
      <w:lvlText w:val="%7."/>
      <w:lvlJc w:val="left"/>
      <w:pPr>
        <w:tabs>
          <w:tab w:val="left" w:pos="180"/>
        </w:tabs>
        <w:ind w:left="1172" w:hanging="629"/>
      </w:pPr>
      <w:rPr>
        <w:rFonts w:hint="eastAsia"/>
        <w:vertAlign w:val="baseline"/>
      </w:rPr>
    </w:lvl>
    <w:lvl w:ilvl="7" w:tentative="0">
      <w:start w:val="1"/>
      <w:numFmt w:val="lowerLetter"/>
      <w:lvlText w:val="%8)"/>
      <w:lvlJc w:val="left"/>
      <w:pPr>
        <w:tabs>
          <w:tab w:val="left" w:pos="180"/>
        </w:tabs>
        <w:ind w:left="1172" w:hanging="629"/>
      </w:pPr>
      <w:rPr>
        <w:rFonts w:hint="eastAsia"/>
        <w:vertAlign w:val="baseline"/>
      </w:rPr>
    </w:lvl>
    <w:lvl w:ilvl="8" w:tentative="0">
      <w:start w:val="1"/>
      <w:numFmt w:val="lowerRoman"/>
      <w:lvlText w:val="%9."/>
      <w:lvlJc w:val="right"/>
      <w:pPr>
        <w:tabs>
          <w:tab w:val="left" w:pos="180"/>
        </w:tabs>
        <w:ind w:left="1172" w:hanging="629"/>
      </w:pPr>
      <w:rPr>
        <w:rFonts w:hint="eastAsia"/>
        <w:vertAlign w:val="baseline"/>
      </w:rPr>
    </w:lvl>
  </w:abstractNum>
  <w:abstractNum w:abstractNumId="3">
    <w:nsid w:val="1FC91163"/>
    <w:multiLevelType w:val="multilevel"/>
    <w:tmpl w:val="1FC91163"/>
    <w:lvl w:ilvl="0" w:tentative="0">
      <w:start w:val="1"/>
      <w:numFmt w:val="decimal"/>
      <w:pStyle w:val="16"/>
      <w:suff w:val="nothing"/>
      <w:lvlText w:val="%1　"/>
      <w:lvlJc w:val="left"/>
      <w:pPr>
        <w:ind w:left="0" w:firstLine="0"/>
      </w:pPr>
      <w:rPr>
        <w:rFonts w:hint="eastAsia" w:ascii="黑体" w:hAnsi="Times New Roman" w:eastAsia="黑体"/>
        <w:b w:val="0"/>
        <w:i w:val="0"/>
        <w:sz w:val="21"/>
        <w:szCs w:val="21"/>
      </w:rPr>
    </w:lvl>
    <w:lvl w:ilvl="1" w:tentative="0">
      <w:start w:val="1"/>
      <w:numFmt w:val="decimal"/>
      <w:pStyle w:val="15"/>
      <w:suff w:val="nothing"/>
      <w:lvlText w:val="%1.%2　"/>
      <w:lvlJc w:val="left"/>
      <w:pPr>
        <w:ind w:left="525" w:firstLine="0"/>
      </w:pPr>
      <w:rPr>
        <w:rFonts w:hint="eastAsia" w:ascii="黑体" w:hAnsi="Times New Roman" w:eastAsia="黑体" w:cs="Times New Roman"/>
        <w:b w:val="0"/>
        <w:bCs w:val="0"/>
        <w:i w:val="0"/>
        <w:iCs w:val="0"/>
        <w:caps w:val="0"/>
        <w:strike w:val="0"/>
        <w:dstrike w:val="0"/>
        <w:vanish w:val="0"/>
        <w:color w:val="000000"/>
        <w:spacing w:val="0"/>
        <w:kern w:val="0"/>
        <w:position w:val="0"/>
        <w:sz w:val="21"/>
        <w:szCs w:val="21"/>
        <w:u w:val="none"/>
        <w:vertAlign w:val="baseline"/>
        <w14:shadow w14:blurRad="0" w14:dist="0" w14:dir="0" w14:sx="0" w14:sy="0" w14:kx="0" w14:ky="0" w14:algn="none">
          <w14:srgbClr w14:val="000000"/>
        </w14:shadow>
      </w:rPr>
    </w:lvl>
    <w:lvl w:ilvl="2" w:tentative="0">
      <w:start w:val="1"/>
      <w:numFmt w:val="decimal"/>
      <w:pStyle w:val="17"/>
      <w:suff w:val="nothing"/>
      <w:lvlText w:val="%1.%2.%3　"/>
      <w:lvlJc w:val="left"/>
      <w:pPr>
        <w:ind w:left="0" w:firstLine="0"/>
      </w:pPr>
      <w:rPr>
        <w:rFonts w:hint="eastAsia" w:ascii="黑体" w:hAnsi="Times New Roman" w:eastAsia="黑体"/>
        <w:b w:val="0"/>
        <w:i w:val="0"/>
        <w:sz w:val="21"/>
      </w:rPr>
    </w:lvl>
    <w:lvl w:ilvl="3" w:tentative="0">
      <w:start w:val="1"/>
      <w:numFmt w:val="decimal"/>
      <w:pStyle w:val="18"/>
      <w:suff w:val="nothing"/>
      <w:lvlText w:val="%1.%2.%3.%4　"/>
      <w:lvlJc w:val="left"/>
      <w:pPr>
        <w:ind w:left="0" w:firstLine="0"/>
      </w:pPr>
      <w:rPr>
        <w:rFonts w:hint="eastAsia" w:ascii="黑体" w:hAnsi="Times New Roman" w:eastAsia="黑体"/>
        <w:b w:val="0"/>
        <w:i w:val="0"/>
        <w:sz w:val="21"/>
      </w:rPr>
    </w:lvl>
    <w:lvl w:ilvl="4" w:tentative="0">
      <w:start w:val="1"/>
      <w:numFmt w:val="decimal"/>
      <w:pStyle w:val="19"/>
      <w:suff w:val="nothing"/>
      <w:lvlText w:val="%1.%2.%3.%4.%5　"/>
      <w:lvlJc w:val="left"/>
      <w:pPr>
        <w:ind w:left="0" w:firstLine="0"/>
      </w:pPr>
      <w:rPr>
        <w:rFonts w:hint="eastAsia" w:ascii="黑体" w:hAnsi="Times New Roman" w:eastAsia="黑体"/>
        <w:b w:val="0"/>
        <w:i w:val="0"/>
        <w:sz w:val="21"/>
      </w:rPr>
    </w:lvl>
    <w:lvl w:ilvl="5" w:tentative="0">
      <w:start w:val="1"/>
      <w:numFmt w:val="decimal"/>
      <w:pStyle w:val="20"/>
      <w:suff w:val="nothing"/>
      <w:lvlText w:val="%1.%2.%3.%4.%5.%6　"/>
      <w:lvlJc w:val="left"/>
      <w:pPr>
        <w:ind w:left="0" w:firstLine="0"/>
      </w:pPr>
      <w:rPr>
        <w:rFonts w:hint="eastAsia" w:ascii="黑体" w:hAnsi="Times New Roman" w:eastAsia="黑体"/>
        <w:b w:val="0"/>
        <w:i w:val="0"/>
        <w:sz w:val="21"/>
      </w:rPr>
    </w:lvl>
    <w:lvl w:ilvl="6" w:tentative="0">
      <w:start w:val="1"/>
      <w:numFmt w:val="decimal"/>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4">
    <w:nsid w:val="2A8F7113"/>
    <w:multiLevelType w:val="multilevel"/>
    <w:tmpl w:val="2A8F7113"/>
    <w:lvl w:ilvl="0" w:tentative="0">
      <w:start w:val="1"/>
      <w:numFmt w:val="upperLetter"/>
      <w:pStyle w:val="22"/>
      <w:suff w:val="space"/>
      <w:lvlText w:val="%1"/>
      <w:lvlJc w:val="left"/>
      <w:pPr>
        <w:ind w:left="623" w:hanging="425"/>
      </w:pPr>
      <w:rPr>
        <w:rFonts w:hint="eastAsia"/>
      </w:rPr>
    </w:lvl>
    <w:lvl w:ilvl="1" w:tentative="0">
      <w:start w:val="1"/>
      <w:numFmt w:val="decimal"/>
      <w:pStyle w:val="23"/>
      <w:suff w:val="nothing"/>
      <w:lvlText w:val="图%1.%2　"/>
      <w:lvlJc w:val="left"/>
      <w:pPr>
        <w:ind w:left="1190" w:hanging="567"/>
      </w:pPr>
      <w:rPr>
        <w:rFonts w:hint="eastAsia"/>
      </w:rPr>
    </w:lvl>
    <w:lvl w:ilvl="2" w:tentative="0">
      <w:start w:val="1"/>
      <w:numFmt w:val="decimal"/>
      <w:lvlText w:val="%1.%2.%3"/>
      <w:lvlJc w:val="left"/>
      <w:pPr>
        <w:tabs>
          <w:tab w:val="left" w:pos="1616"/>
        </w:tabs>
        <w:ind w:left="1616" w:hanging="567"/>
      </w:pPr>
      <w:rPr>
        <w:rFonts w:hint="eastAsia"/>
      </w:rPr>
    </w:lvl>
    <w:lvl w:ilvl="3" w:tentative="0">
      <w:start w:val="1"/>
      <w:numFmt w:val="decimal"/>
      <w:lvlText w:val="%1.%2.%3.%4"/>
      <w:lvlJc w:val="left"/>
      <w:pPr>
        <w:tabs>
          <w:tab w:val="left" w:pos="2914"/>
        </w:tabs>
        <w:ind w:left="2182" w:hanging="708"/>
      </w:pPr>
      <w:rPr>
        <w:rFonts w:hint="eastAsia"/>
      </w:rPr>
    </w:lvl>
    <w:lvl w:ilvl="4" w:tentative="0">
      <w:start w:val="1"/>
      <w:numFmt w:val="decimal"/>
      <w:lvlText w:val="%1.%2.%3.%4.%5"/>
      <w:lvlJc w:val="left"/>
      <w:pPr>
        <w:tabs>
          <w:tab w:val="left" w:pos="3699"/>
        </w:tabs>
        <w:ind w:left="2749" w:hanging="850"/>
      </w:pPr>
      <w:rPr>
        <w:rFonts w:hint="eastAsia"/>
      </w:rPr>
    </w:lvl>
    <w:lvl w:ilvl="5" w:tentative="0">
      <w:start w:val="1"/>
      <w:numFmt w:val="decimal"/>
      <w:lvlText w:val="%1.%2.%3.%4.%5.%6"/>
      <w:lvlJc w:val="left"/>
      <w:pPr>
        <w:tabs>
          <w:tab w:val="left" w:pos="4484"/>
        </w:tabs>
        <w:ind w:left="3458" w:hanging="1134"/>
      </w:pPr>
      <w:rPr>
        <w:rFonts w:hint="eastAsia"/>
      </w:rPr>
    </w:lvl>
    <w:lvl w:ilvl="6" w:tentative="0">
      <w:start w:val="1"/>
      <w:numFmt w:val="decimal"/>
      <w:lvlText w:val="%1.%2.%3.%4.%5.%6.%7"/>
      <w:lvlJc w:val="left"/>
      <w:pPr>
        <w:tabs>
          <w:tab w:val="left" w:pos="5269"/>
        </w:tabs>
        <w:ind w:left="4025" w:hanging="1276"/>
      </w:pPr>
      <w:rPr>
        <w:rFonts w:hint="eastAsia"/>
      </w:rPr>
    </w:lvl>
    <w:lvl w:ilvl="7" w:tentative="0">
      <w:start w:val="1"/>
      <w:numFmt w:val="decimal"/>
      <w:lvlText w:val="%1.%2.%3.%4.%5.%6.%7.%8"/>
      <w:lvlJc w:val="left"/>
      <w:pPr>
        <w:tabs>
          <w:tab w:val="left" w:pos="6054"/>
        </w:tabs>
        <w:ind w:left="4592" w:hanging="1418"/>
      </w:pPr>
      <w:rPr>
        <w:rFonts w:hint="eastAsia"/>
      </w:rPr>
    </w:lvl>
    <w:lvl w:ilvl="8" w:tentative="0">
      <w:start w:val="1"/>
      <w:numFmt w:val="decimal"/>
      <w:lvlText w:val="%1.%2.%3.%4.%5.%6.%7.%8.%9"/>
      <w:lvlJc w:val="left"/>
      <w:pPr>
        <w:tabs>
          <w:tab w:val="left" w:pos="6840"/>
        </w:tabs>
        <w:ind w:left="5300" w:hanging="1700"/>
      </w:pPr>
      <w:rPr>
        <w:rFonts w:hint="eastAsia"/>
      </w:rPr>
    </w:lvl>
  </w:abstractNum>
  <w:abstractNum w:abstractNumId="5">
    <w:nsid w:val="557C2AF5"/>
    <w:multiLevelType w:val="multilevel"/>
    <w:tmpl w:val="557C2AF5"/>
    <w:lvl w:ilvl="0" w:tentative="0">
      <w:start w:val="1"/>
      <w:numFmt w:val="decimal"/>
      <w:pStyle w:val="14"/>
      <w:suff w:val="nothing"/>
      <w:lvlText w:val="图%1　"/>
      <w:lvlJc w:val="left"/>
      <w:pPr>
        <w:ind w:left="0" w:firstLine="0"/>
      </w:pPr>
      <w:rPr>
        <w:rFonts w:hint="eastAsia" w:ascii="黑体" w:hAnsi="Times New Roman" w:eastAsia="黑体"/>
        <w:b w:val="0"/>
        <w:i w:val="0"/>
        <w:sz w:val="21"/>
      </w:rPr>
    </w:lvl>
    <w:lvl w:ilvl="1" w:tentative="0">
      <w:start w:val="1"/>
      <w:numFmt w:val="decimal"/>
      <w:suff w:val="nothing"/>
      <w:lvlText w:val="%1%2　"/>
      <w:lvlJc w:val="left"/>
      <w:pPr>
        <w:ind w:left="0" w:firstLine="0"/>
      </w:pPr>
      <w:rPr>
        <w:rFonts w:hint="default" w:ascii="Times New Roman" w:hAnsi="Times New Roman" w:eastAsia="黑体"/>
        <w:b w:val="0"/>
        <w:i w:val="0"/>
        <w:sz w:val="21"/>
      </w:rPr>
    </w:lvl>
    <w:lvl w:ilvl="2" w:tentative="0">
      <w:start w:val="1"/>
      <w:numFmt w:val="decimal"/>
      <w:suff w:val="nothing"/>
      <w:lvlText w:val="%1%2.%3　"/>
      <w:lvlJc w:val="left"/>
      <w:pPr>
        <w:ind w:left="0" w:firstLine="0"/>
      </w:pPr>
      <w:rPr>
        <w:rFonts w:hint="default" w:ascii="Times New Roman" w:hAnsi="Times New Roman" w:eastAsia="黑体"/>
        <w:b w:val="0"/>
        <w:i w:val="0"/>
        <w:sz w:val="21"/>
      </w:rPr>
    </w:lvl>
    <w:lvl w:ilvl="3" w:tentative="0">
      <w:start w:val="1"/>
      <w:numFmt w:val="decimal"/>
      <w:suff w:val="nothing"/>
      <w:lvlText w:val="%1%2.%3.%4　"/>
      <w:lvlJc w:val="left"/>
      <w:pPr>
        <w:ind w:left="0" w:firstLine="0"/>
      </w:pPr>
      <w:rPr>
        <w:rFonts w:hint="default" w:ascii="Times New Roman" w:hAnsi="Times New Roman" w:eastAsia="黑体"/>
        <w:b w:val="0"/>
        <w:i w:val="0"/>
        <w:sz w:val="21"/>
      </w:rPr>
    </w:lvl>
    <w:lvl w:ilvl="4" w:tentative="0">
      <w:start w:val="1"/>
      <w:numFmt w:val="decimal"/>
      <w:suff w:val="nothing"/>
      <w:lvlText w:val="%1%2.%3.%4.%5　"/>
      <w:lvlJc w:val="left"/>
      <w:pPr>
        <w:ind w:left="0" w:firstLine="0"/>
      </w:pPr>
      <w:rPr>
        <w:rFonts w:hint="default" w:ascii="Times New Roman" w:hAnsi="Times New Roman" w:eastAsia="黑体"/>
        <w:b w:val="0"/>
        <w:i w:val="0"/>
        <w:sz w:val="21"/>
      </w:rPr>
    </w:lvl>
    <w:lvl w:ilvl="5" w:tentative="0">
      <w:start w:val="1"/>
      <w:numFmt w:val="decimal"/>
      <w:suff w:val="nothing"/>
      <w:lvlText w:val="%1%2.%3.%4.%5.%6　"/>
      <w:lvlJc w:val="left"/>
      <w:pPr>
        <w:ind w:left="0" w:firstLine="0"/>
      </w:pPr>
      <w:rPr>
        <w:rFonts w:hint="default" w:ascii="Times New Roman" w:hAnsi="Times New Roman" w:eastAsia="黑体"/>
        <w:b w:val="0"/>
        <w:i w:val="0"/>
        <w:sz w:val="21"/>
      </w:rPr>
    </w:lvl>
    <w:lvl w:ilvl="6" w:tentative="0">
      <w:start w:val="1"/>
      <w:numFmt w:val="decimal"/>
      <w:suff w:val="nothing"/>
      <w:lvlText w:val="%1%2.%3.%4.%5.%6.%7　"/>
      <w:lvlJc w:val="left"/>
      <w:pPr>
        <w:ind w:left="0" w:firstLine="0"/>
      </w:pPr>
      <w:rPr>
        <w:rFonts w:hint="default" w:ascii="Times New Roman"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6">
    <w:nsid w:val="60B55DC2"/>
    <w:multiLevelType w:val="multilevel"/>
    <w:tmpl w:val="60B55DC2"/>
    <w:lvl w:ilvl="0" w:tentative="0">
      <w:start w:val="1"/>
      <w:numFmt w:val="upperLetter"/>
      <w:lvlText w:val="%1"/>
      <w:lvlJc w:val="left"/>
      <w:pPr>
        <w:tabs>
          <w:tab w:val="left" w:pos="0"/>
        </w:tabs>
        <w:ind w:left="0" w:hanging="425"/>
      </w:pPr>
      <w:rPr>
        <w:rFonts w:hint="eastAsia"/>
      </w:rPr>
    </w:lvl>
    <w:lvl w:ilvl="1" w:tentative="0">
      <w:start w:val="1"/>
      <w:numFmt w:val="decimal"/>
      <w:pStyle w:val="29"/>
      <w:suff w:val="nothing"/>
      <w:lvlText w:val="表%1.%2　"/>
      <w:lvlJc w:val="left"/>
      <w:pPr>
        <w:ind w:left="567" w:hanging="567"/>
      </w:pPr>
      <w:rPr>
        <w:rFonts w:hint="eastAsia"/>
      </w:rPr>
    </w:lvl>
    <w:lvl w:ilvl="2" w:tentative="0">
      <w:start w:val="1"/>
      <w:numFmt w:val="decimal"/>
      <w:lvlText w:val="%1.%2.%3"/>
      <w:lvlJc w:val="left"/>
      <w:pPr>
        <w:tabs>
          <w:tab w:val="left" w:pos="993"/>
        </w:tabs>
        <w:ind w:left="993" w:hanging="567"/>
      </w:pPr>
      <w:rPr>
        <w:rFonts w:hint="eastAsia"/>
      </w:rPr>
    </w:lvl>
    <w:lvl w:ilvl="3" w:tentative="0">
      <w:start w:val="1"/>
      <w:numFmt w:val="decimal"/>
      <w:lvlText w:val="%1.%2.%3.%4"/>
      <w:lvlJc w:val="left"/>
      <w:pPr>
        <w:tabs>
          <w:tab w:val="left" w:pos="2291"/>
        </w:tabs>
        <w:ind w:left="1559" w:hanging="708"/>
      </w:pPr>
      <w:rPr>
        <w:rFonts w:hint="eastAsia"/>
      </w:rPr>
    </w:lvl>
    <w:lvl w:ilvl="4" w:tentative="0">
      <w:start w:val="1"/>
      <w:numFmt w:val="decimal"/>
      <w:lvlText w:val="%1.%2.%3.%4.%5"/>
      <w:lvlJc w:val="left"/>
      <w:pPr>
        <w:tabs>
          <w:tab w:val="left" w:pos="3076"/>
        </w:tabs>
        <w:ind w:left="2126" w:hanging="850"/>
      </w:pPr>
      <w:rPr>
        <w:rFonts w:hint="eastAsia"/>
      </w:rPr>
    </w:lvl>
    <w:lvl w:ilvl="5" w:tentative="0">
      <w:start w:val="1"/>
      <w:numFmt w:val="decimal"/>
      <w:lvlText w:val="%1.%2.%3.%4.%5.%6"/>
      <w:lvlJc w:val="left"/>
      <w:pPr>
        <w:tabs>
          <w:tab w:val="left" w:pos="3861"/>
        </w:tabs>
        <w:ind w:left="2835" w:hanging="1134"/>
      </w:pPr>
      <w:rPr>
        <w:rFonts w:hint="eastAsia"/>
      </w:rPr>
    </w:lvl>
    <w:lvl w:ilvl="6" w:tentative="0">
      <w:start w:val="1"/>
      <w:numFmt w:val="decimal"/>
      <w:lvlText w:val="%1.%2.%3.%4.%5.%6.%7"/>
      <w:lvlJc w:val="left"/>
      <w:pPr>
        <w:tabs>
          <w:tab w:val="left" w:pos="4646"/>
        </w:tabs>
        <w:ind w:left="3402" w:hanging="1276"/>
      </w:pPr>
      <w:rPr>
        <w:rFonts w:hint="eastAsia"/>
      </w:rPr>
    </w:lvl>
    <w:lvl w:ilvl="7" w:tentative="0">
      <w:start w:val="1"/>
      <w:numFmt w:val="decimal"/>
      <w:lvlText w:val="%1.%2.%3.%4.%5.%6.%7.%8"/>
      <w:lvlJc w:val="left"/>
      <w:pPr>
        <w:tabs>
          <w:tab w:val="left" w:pos="5431"/>
        </w:tabs>
        <w:ind w:left="3969" w:hanging="1418"/>
      </w:pPr>
      <w:rPr>
        <w:rFonts w:hint="eastAsia"/>
      </w:rPr>
    </w:lvl>
    <w:lvl w:ilvl="8" w:tentative="0">
      <w:start w:val="1"/>
      <w:numFmt w:val="decimal"/>
      <w:lvlText w:val="%1.%2.%3.%4.%5.%6.%7.%8.%9"/>
      <w:lvlJc w:val="left"/>
      <w:pPr>
        <w:tabs>
          <w:tab w:val="left" w:pos="6217"/>
        </w:tabs>
        <w:ind w:left="4677" w:hanging="1700"/>
      </w:pPr>
      <w:rPr>
        <w:rFonts w:hint="eastAsia"/>
      </w:rPr>
    </w:lvl>
  </w:abstractNum>
  <w:abstractNum w:abstractNumId="7">
    <w:nsid w:val="646260FA"/>
    <w:multiLevelType w:val="multilevel"/>
    <w:tmpl w:val="646260FA"/>
    <w:lvl w:ilvl="0" w:tentative="0">
      <w:start w:val="1"/>
      <w:numFmt w:val="decimal"/>
      <w:pStyle w:val="13"/>
      <w:suff w:val="nothing"/>
      <w:lvlText w:val="表%1　"/>
      <w:lvlJc w:val="left"/>
      <w:pPr>
        <w:ind w:left="0" w:firstLine="0"/>
      </w:pPr>
      <w:rPr>
        <w:rFonts w:hint="eastAsia" w:ascii="黑体" w:hAnsi="Times New Roman" w:eastAsia="黑体"/>
        <w:b w:val="0"/>
        <w:i w:val="0"/>
        <w:sz w:val="21"/>
      </w:rPr>
    </w:lvl>
    <w:lvl w:ilvl="1" w:tentative="0">
      <w:start w:val="1"/>
      <w:numFmt w:val="decimal"/>
      <w:lvlText w:val="%1.%2"/>
      <w:lvlJc w:val="left"/>
      <w:pPr>
        <w:tabs>
          <w:tab w:val="left" w:pos="992"/>
        </w:tabs>
        <w:ind w:left="992" w:hanging="567"/>
      </w:pPr>
      <w:rPr>
        <w:rFonts w:hint="eastAsia"/>
      </w:rPr>
    </w:lvl>
    <w:lvl w:ilvl="2" w:tentative="0">
      <w:start w:val="1"/>
      <w:numFmt w:val="decimal"/>
      <w:lvlText w:val="%1.%2.%3"/>
      <w:lvlJc w:val="left"/>
      <w:pPr>
        <w:tabs>
          <w:tab w:val="left" w:pos="1418"/>
        </w:tabs>
        <w:ind w:left="1418" w:hanging="567"/>
      </w:pPr>
      <w:rPr>
        <w:rFonts w:hint="eastAsia"/>
      </w:rPr>
    </w:lvl>
    <w:lvl w:ilvl="3" w:tentative="0">
      <w:start w:val="1"/>
      <w:numFmt w:val="decimal"/>
      <w:lvlText w:val="%1.%2.%3.%4"/>
      <w:lvlJc w:val="left"/>
      <w:pPr>
        <w:tabs>
          <w:tab w:val="left" w:pos="1984"/>
        </w:tabs>
        <w:ind w:left="1984" w:hanging="708"/>
      </w:pPr>
      <w:rPr>
        <w:rFonts w:hint="eastAsia"/>
      </w:rPr>
    </w:lvl>
    <w:lvl w:ilvl="4" w:tentative="0">
      <w:start w:val="1"/>
      <w:numFmt w:val="decimal"/>
      <w:lvlText w:val="%1.%2.%3.%4.%5"/>
      <w:lvlJc w:val="left"/>
      <w:pPr>
        <w:tabs>
          <w:tab w:val="left" w:pos="2551"/>
        </w:tabs>
        <w:ind w:left="2551" w:hanging="850"/>
      </w:pPr>
      <w:rPr>
        <w:rFonts w:hint="eastAsia"/>
      </w:rPr>
    </w:lvl>
    <w:lvl w:ilvl="5" w:tentative="0">
      <w:start w:val="1"/>
      <w:numFmt w:val="decimal"/>
      <w:lvlText w:val="%1.%2.%3.%4.%5.%6"/>
      <w:lvlJc w:val="left"/>
      <w:pPr>
        <w:tabs>
          <w:tab w:val="left" w:pos="3260"/>
        </w:tabs>
        <w:ind w:left="3260" w:hanging="1134"/>
      </w:pPr>
      <w:rPr>
        <w:rFonts w:hint="eastAsia"/>
      </w:rPr>
    </w:lvl>
    <w:lvl w:ilvl="6" w:tentative="0">
      <w:start w:val="1"/>
      <w:numFmt w:val="decimal"/>
      <w:lvlText w:val="%1.%2.%3.%4.%5.%6.%7"/>
      <w:lvlJc w:val="left"/>
      <w:pPr>
        <w:tabs>
          <w:tab w:val="left" w:pos="3827"/>
        </w:tabs>
        <w:ind w:left="3827" w:hanging="1276"/>
      </w:pPr>
      <w:rPr>
        <w:rFonts w:hint="eastAsia"/>
      </w:rPr>
    </w:lvl>
    <w:lvl w:ilvl="7" w:tentative="0">
      <w:start w:val="1"/>
      <w:numFmt w:val="decimal"/>
      <w:lvlText w:val="%1.%2.%3.%4.%5.%6.%7.%8"/>
      <w:lvlJc w:val="left"/>
      <w:pPr>
        <w:tabs>
          <w:tab w:val="left" w:pos="4394"/>
        </w:tabs>
        <w:ind w:left="4394" w:hanging="1418"/>
      </w:pPr>
      <w:rPr>
        <w:rFonts w:hint="eastAsia"/>
      </w:rPr>
    </w:lvl>
    <w:lvl w:ilvl="8" w:tentative="0">
      <w:start w:val="1"/>
      <w:numFmt w:val="decimal"/>
      <w:lvlText w:val="%1.%2.%3.%4.%5.%6.%7.%8.%9"/>
      <w:lvlJc w:val="left"/>
      <w:pPr>
        <w:tabs>
          <w:tab w:val="left" w:pos="5102"/>
        </w:tabs>
        <w:ind w:left="5102" w:hanging="1700"/>
      </w:pPr>
      <w:rPr>
        <w:rFonts w:hint="eastAsia"/>
      </w:rPr>
    </w:lvl>
  </w:abstractNum>
  <w:abstractNum w:abstractNumId="8">
    <w:nsid w:val="6CEA2025"/>
    <w:multiLevelType w:val="multilevel"/>
    <w:tmpl w:val="6CEA2025"/>
    <w:lvl w:ilvl="0" w:tentative="0">
      <w:start w:val="1"/>
      <w:numFmt w:val="none"/>
      <w:suff w:val="nothing"/>
      <w:lvlText w:val="%1"/>
      <w:lvlJc w:val="left"/>
      <w:pPr>
        <w:ind w:left="0" w:firstLine="0"/>
      </w:pPr>
      <w:rPr>
        <w:rFonts w:hint="eastAsia"/>
      </w:rPr>
    </w:lvl>
    <w:lvl w:ilvl="1" w:tentative="0">
      <w:start w:val="1"/>
      <w:numFmt w:val="decimal"/>
      <w:pStyle w:val="38"/>
      <w:suff w:val="nothing"/>
      <w:lvlText w:val="%1%2　"/>
      <w:lvlJc w:val="left"/>
      <w:pPr>
        <w:ind w:left="0" w:firstLine="0"/>
      </w:pPr>
      <w:rPr>
        <w:rFonts w:hint="eastAsia" w:ascii="黑体" w:eastAsia="黑体"/>
        <w:b w:val="0"/>
        <w:i w:val="0"/>
        <w:sz w:val="21"/>
      </w:rPr>
    </w:lvl>
    <w:lvl w:ilvl="2" w:tentative="0">
      <w:start w:val="1"/>
      <w:numFmt w:val="decimal"/>
      <w:pStyle w:val="37"/>
      <w:suff w:val="nothing"/>
      <w:lvlText w:val="%1%2.%3　"/>
      <w:lvlJc w:val="left"/>
      <w:pPr>
        <w:ind w:left="0" w:firstLine="0"/>
      </w:pPr>
      <w:rPr>
        <w:rFonts w:hint="eastAsia" w:ascii="黑体" w:hAnsi="Times New Roman" w:eastAsia="黑体" w:cs="Times New Roman"/>
        <w:b w:val="0"/>
        <w:bCs w:val="0"/>
        <w:i w:val="0"/>
        <w:iCs w:val="0"/>
        <w:caps w:val="0"/>
        <w:smallCaps w:val="0"/>
        <w:strike w:val="0"/>
        <w:dstrike w:val="0"/>
        <w:vanish w:val="0"/>
        <w:color w:val="000000"/>
        <w:spacing w:val="0"/>
        <w:kern w:val="0"/>
        <w:position w:val="0"/>
        <w:sz w:val="21"/>
        <w:u w:val="none"/>
        <w:vertAlign w:val="baseline"/>
      </w:rPr>
    </w:lvl>
    <w:lvl w:ilvl="3" w:tentative="0">
      <w:start w:val="1"/>
      <w:numFmt w:val="decimal"/>
      <w:suff w:val="nothing"/>
      <w:lvlText w:val="%1%2.%3.%4　"/>
      <w:lvlJc w:val="left"/>
      <w:pPr>
        <w:ind w:left="0" w:firstLine="0"/>
      </w:pPr>
      <w:rPr>
        <w:rFonts w:hint="eastAsia" w:ascii="黑体" w:eastAsia="黑体"/>
        <w:b w:val="0"/>
        <w:i w:val="0"/>
        <w:sz w:val="21"/>
      </w:rPr>
    </w:lvl>
    <w:lvl w:ilvl="4" w:tentative="0">
      <w:start w:val="1"/>
      <w:numFmt w:val="decimal"/>
      <w:suff w:val="nothing"/>
      <w:lvlText w:val="%1%2.%3.%4.%5　"/>
      <w:lvlJc w:val="left"/>
      <w:pPr>
        <w:ind w:left="0" w:firstLine="0"/>
      </w:pPr>
      <w:rPr>
        <w:rFonts w:hint="eastAsia" w:ascii="黑体" w:eastAsia="黑体"/>
        <w:b w:val="0"/>
        <w:i w:val="0"/>
        <w:sz w:val="21"/>
      </w:rPr>
    </w:lvl>
    <w:lvl w:ilvl="5" w:tentative="0">
      <w:start w:val="1"/>
      <w:numFmt w:val="decimal"/>
      <w:suff w:val="nothing"/>
      <w:lvlText w:val="%1%2.%3.%4.%5.%6　"/>
      <w:lvlJc w:val="left"/>
      <w:pPr>
        <w:ind w:left="0" w:firstLine="0"/>
      </w:pPr>
      <w:rPr>
        <w:rFonts w:hint="eastAsia" w:ascii="黑体" w:eastAsia="黑体"/>
        <w:b w:val="0"/>
        <w:i w:val="0"/>
        <w:sz w:val="21"/>
      </w:rPr>
    </w:lvl>
    <w:lvl w:ilvl="6" w:tentative="0">
      <w:start w:val="1"/>
      <w:numFmt w:val="decimal"/>
      <w:suff w:val="nothing"/>
      <w:lvlText w:val="%1%2.%3.%4.%5.%6.%7　"/>
      <w:lvlJc w:val="left"/>
      <w:pPr>
        <w:ind w:left="0" w:firstLine="0"/>
      </w:pPr>
      <w:rPr>
        <w:rFonts w:hint="eastAsia" w:ascii="黑体"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num w:numId="1">
    <w:abstractNumId w:val="7"/>
  </w:num>
  <w:num w:numId="2">
    <w:abstractNumId w:val="5"/>
  </w:num>
  <w:num w:numId="3">
    <w:abstractNumId w:val="3"/>
  </w:num>
  <w:num w:numId="4">
    <w:abstractNumId w:val="0"/>
  </w:num>
  <w:num w:numId="5">
    <w:abstractNumId w:val="4"/>
  </w:num>
  <w:num w:numId="6">
    <w:abstractNumId w:val="2"/>
  </w:num>
  <w:num w:numId="7">
    <w:abstractNumId w:val="1"/>
  </w:num>
  <w:num w:numId="8">
    <w:abstractNumId w:val="6"/>
  </w:num>
  <w:num w:numId="9">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embedSystemFonts/>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2062E"/>
    <w:rsid w:val="0000457E"/>
    <w:rsid w:val="00005CA4"/>
    <w:rsid w:val="000107BC"/>
    <w:rsid w:val="00013090"/>
    <w:rsid w:val="00016837"/>
    <w:rsid w:val="00021331"/>
    <w:rsid w:val="00023119"/>
    <w:rsid w:val="00023FE2"/>
    <w:rsid w:val="00024212"/>
    <w:rsid w:val="00024664"/>
    <w:rsid w:val="00032CD6"/>
    <w:rsid w:val="00033257"/>
    <w:rsid w:val="00034233"/>
    <w:rsid w:val="00034BDB"/>
    <w:rsid w:val="00047D7B"/>
    <w:rsid w:val="00053B0B"/>
    <w:rsid w:val="000576D0"/>
    <w:rsid w:val="00057758"/>
    <w:rsid w:val="00060FE2"/>
    <w:rsid w:val="0007330D"/>
    <w:rsid w:val="00073F72"/>
    <w:rsid w:val="00074EB1"/>
    <w:rsid w:val="00076BBA"/>
    <w:rsid w:val="00080F2F"/>
    <w:rsid w:val="0008145A"/>
    <w:rsid w:val="0009177A"/>
    <w:rsid w:val="00093E74"/>
    <w:rsid w:val="000962F6"/>
    <w:rsid w:val="000A0201"/>
    <w:rsid w:val="000A1EAE"/>
    <w:rsid w:val="000A3070"/>
    <w:rsid w:val="000A4601"/>
    <w:rsid w:val="000A77CD"/>
    <w:rsid w:val="000B572A"/>
    <w:rsid w:val="000D0ACE"/>
    <w:rsid w:val="000D15BE"/>
    <w:rsid w:val="000D5AC8"/>
    <w:rsid w:val="000D6612"/>
    <w:rsid w:val="000D751C"/>
    <w:rsid w:val="000D7F33"/>
    <w:rsid w:val="000F10EB"/>
    <w:rsid w:val="000F3365"/>
    <w:rsid w:val="000F517A"/>
    <w:rsid w:val="001012D5"/>
    <w:rsid w:val="00101D2E"/>
    <w:rsid w:val="00103B83"/>
    <w:rsid w:val="00105252"/>
    <w:rsid w:val="001062E3"/>
    <w:rsid w:val="00106661"/>
    <w:rsid w:val="0010769F"/>
    <w:rsid w:val="00110864"/>
    <w:rsid w:val="00110F43"/>
    <w:rsid w:val="00112415"/>
    <w:rsid w:val="00113B53"/>
    <w:rsid w:val="00114946"/>
    <w:rsid w:val="00122573"/>
    <w:rsid w:val="00126CA6"/>
    <w:rsid w:val="001273E7"/>
    <w:rsid w:val="00127EB0"/>
    <w:rsid w:val="00131B03"/>
    <w:rsid w:val="00132C5F"/>
    <w:rsid w:val="00133786"/>
    <w:rsid w:val="00134DD4"/>
    <w:rsid w:val="001435D3"/>
    <w:rsid w:val="001449B5"/>
    <w:rsid w:val="001463AC"/>
    <w:rsid w:val="0015152A"/>
    <w:rsid w:val="00156020"/>
    <w:rsid w:val="00156663"/>
    <w:rsid w:val="001611BB"/>
    <w:rsid w:val="00167167"/>
    <w:rsid w:val="001708F8"/>
    <w:rsid w:val="0018112C"/>
    <w:rsid w:val="00183467"/>
    <w:rsid w:val="00190A64"/>
    <w:rsid w:val="00190C6A"/>
    <w:rsid w:val="00191774"/>
    <w:rsid w:val="00191DCE"/>
    <w:rsid w:val="001923CF"/>
    <w:rsid w:val="001925FD"/>
    <w:rsid w:val="001930A1"/>
    <w:rsid w:val="00194FE3"/>
    <w:rsid w:val="00196054"/>
    <w:rsid w:val="0019711F"/>
    <w:rsid w:val="001A0DBF"/>
    <w:rsid w:val="001A3402"/>
    <w:rsid w:val="001B0E92"/>
    <w:rsid w:val="001B36E5"/>
    <w:rsid w:val="001B3B17"/>
    <w:rsid w:val="001C5F01"/>
    <w:rsid w:val="001C793C"/>
    <w:rsid w:val="001D22F0"/>
    <w:rsid w:val="001D64DB"/>
    <w:rsid w:val="001D7816"/>
    <w:rsid w:val="001E5000"/>
    <w:rsid w:val="001F07A8"/>
    <w:rsid w:val="001F16E6"/>
    <w:rsid w:val="001F241E"/>
    <w:rsid w:val="001F537A"/>
    <w:rsid w:val="001F660A"/>
    <w:rsid w:val="001F79F5"/>
    <w:rsid w:val="001F7E35"/>
    <w:rsid w:val="00205603"/>
    <w:rsid w:val="00210916"/>
    <w:rsid w:val="002116FB"/>
    <w:rsid w:val="00214221"/>
    <w:rsid w:val="00217683"/>
    <w:rsid w:val="002223DD"/>
    <w:rsid w:val="002231E8"/>
    <w:rsid w:val="00223EB7"/>
    <w:rsid w:val="00224EB8"/>
    <w:rsid w:val="00231E62"/>
    <w:rsid w:val="00232769"/>
    <w:rsid w:val="00244ADA"/>
    <w:rsid w:val="00244C0C"/>
    <w:rsid w:val="002465C7"/>
    <w:rsid w:val="002526F3"/>
    <w:rsid w:val="00254F7A"/>
    <w:rsid w:val="00256FE0"/>
    <w:rsid w:val="002614C6"/>
    <w:rsid w:val="002621E1"/>
    <w:rsid w:val="00262753"/>
    <w:rsid w:val="00262771"/>
    <w:rsid w:val="00262F6C"/>
    <w:rsid w:val="00264A7D"/>
    <w:rsid w:val="00264CE4"/>
    <w:rsid w:val="002651A9"/>
    <w:rsid w:val="00266090"/>
    <w:rsid w:val="0027235B"/>
    <w:rsid w:val="00283085"/>
    <w:rsid w:val="00283E25"/>
    <w:rsid w:val="0029084D"/>
    <w:rsid w:val="00291D7F"/>
    <w:rsid w:val="00291EF3"/>
    <w:rsid w:val="002952AC"/>
    <w:rsid w:val="002A2FCF"/>
    <w:rsid w:val="002A4D06"/>
    <w:rsid w:val="002A5D80"/>
    <w:rsid w:val="002B07E3"/>
    <w:rsid w:val="002B23AB"/>
    <w:rsid w:val="002B2E35"/>
    <w:rsid w:val="002B3D69"/>
    <w:rsid w:val="002B5497"/>
    <w:rsid w:val="002C1D2A"/>
    <w:rsid w:val="002C4FFB"/>
    <w:rsid w:val="002C5534"/>
    <w:rsid w:val="002C611B"/>
    <w:rsid w:val="002C73B6"/>
    <w:rsid w:val="002D49CC"/>
    <w:rsid w:val="002D6D1E"/>
    <w:rsid w:val="002E073F"/>
    <w:rsid w:val="002E7467"/>
    <w:rsid w:val="002E7A35"/>
    <w:rsid w:val="002F34AA"/>
    <w:rsid w:val="002F4B59"/>
    <w:rsid w:val="002F4D7B"/>
    <w:rsid w:val="002F513F"/>
    <w:rsid w:val="002F613B"/>
    <w:rsid w:val="003025DF"/>
    <w:rsid w:val="00303E23"/>
    <w:rsid w:val="00304BFD"/>
    <w:rsid w:val="00306925"/>
    <w:rsid w:val="0031011D"/>
    <w:rsid w:val="003144B8"/>
    <w:rsid w:val="00314640"/>
    <w:rsid w:val="00327623"/>
    <w:rsid w:val="0033375C"/>
    <w:rsid w:val="0034090F"/>
    <w:rsid w:val="00343C24"/>
    <w:rsid w:val="00345BCC"/>
    <w:rsid w:val="00353735"/>
    <w:rsid w:val="00354D06"/>
    <w:rsid w:val="00356D19"/>
    <w:rsid w:val="00357A1D"/>
    <w:rsid w:val="00357E18"/>
    <w:rsid w:val="0036001E"/>
    <w:rsid w:val="00360952"/>
    <w:rsid w:val="00362F10"/>
    <w:rsid w:val="00365252"/>
    <w:rsid w:val="00372A01"/>
    <w:rsid w:val="00372C98"/>
    <w:rsid w:val="00373BAD"/>
    <w:rsid w:val="00374390"/>
    <w:rsid w:val="003754CF"/>
    <w:rsid w:val="00381796"/>
    <w:rsid w:val="00382AB2"/>
    <w:rsid w:val="00386647"/>
    <w:rsid w:val="00391984"/>
    <w:rsid w:val="00392E22"/>
    <w:rsid w:val="00396025"/>
    <w:rsid w:val="003B2F32"/>
    <w:rsid w:val="003B5050"/>
    <w:rsid w:val="003B729F"/>
    <w:rsid w:val="003C2D44"/>
    <w:rsid w:val="003C483D"/>
    <w:rsid w:val="003D3AF0"/>
    <w:rsid w:val="003D48B6"/>
    <w:rsid w:val="003D51D0"/>
    <w:rsid w:val="003D5CB5"/>
    <w:rsid w:val="003D6E58"/>
    <w:rsid w:val="003E330B"/>
    <w:rsid w:val="003E4A86"/>
    <w:rsid w:val="003F284D"/>
    <w:rsid w:val="003F28D0"/>
    <w:rsid w:val="003F3119"/>
    <w:rsid w:val="003F392A"/>
    <w:rsid w:val="003F3AAC"/>
    <w:rsid w:val="003F727B"/>
    <w:rsid w:val="0040035D"/>
    <w:rsid w:val="00403F64"/>
    <w:rsid w:val="00404BD1"/>
    <w:rsid w:val="004050BE"/>
    <w:rsid w:val="0040610D"/>
    <w:rsid w:val="00406A80"/>
    <w:rsid w:val="0042062E"/>
    <w:rsid w:val="00424AF1"/>
    <w:rsid w:val="00424FCB"/>
    <w:rsid w:val="00425860"/>
    <w:rsid w:val="00427B81"/>
    <w:rsid w:val="00434E46"/>
    <w:rsid w:val="00434F90"/>
    <w:rsid w:val="004378E4"/>
    <w:rsid w:val="0044118D"/>
    <w:rsid w:val="004441BD"/>
    <w:rsid w:val="004503F4"/>
    <w:rsid w:val="0045483D"/>
    <w:rsid w:val="00455661"/>
    <w:rsid w:val="0046025A"/>
    <w:rsid w:val="00460359"/>
    <w:rsid w:val="004605D8"/>
    <w:rsid w:val="004626AF"/>
    <w:rsid w:val="00465230"/>
    <w:rsid w:val="00467DEF"/>
    <w:rsid w:val="004715D8"/>
    <w:rsid w:val="004805D0"/>
    <w:rsid w:val="00480BA1"/>
    <w:rsid w:val="004814A9"/>
    <w:rsid w:val="0048357F"/>
    <w:rsid w:val="00484EF3"/>
    <w:rsid w:val="00485212"/>
    <w:rsid w:val="004865C9"/>
    <w:rsid w:val="0049011A"/>
    <w:rsid w:val="00491FE3"/>
    <w:rsid w:val="0049241F"/>
    <w:rsid w:val="0049390C"/>
    <w:rsid w:val="004A25C4"/>
    <w:rsid w:val="004A2878"/>
    <w:rsid w:val="004A614E"/>
    <w:rsid w:val="004A660C"/>
    <w:rsid w:val="004A76AB"/>
    <w:rsid w:val="004B2E7F"/>
    <w:rsid w:val="004C4136"/>
    <w:rsid w:val="004D155D"/>
    <w:rsid w:val="004D2302"/>
    <w:rsid w:val="004D5B22"/>
    <w:rsid w:val="004E3026"/>
    <w:rsid w:val="004F0593"/>
    <w:rsid w:val="004F48C2"/>
    <w:rsid w:val="004F74F0"/>
    <w:rsid w:val="004F7FA9"/>
    <w:rsid w:val="005009D1"/>
    <w:rsid w:val="0050156A"/>
    <w:rsid w:val="00505469"/>
    <w:rsid w:val="005066ED"/>
    <w:rsid w:val="005067C2"/>
    <w:rsid w:val="0051028F"/>
    <w:rsid w:val="0051148B"/>
    <w:rsid w:val="00513080"/>
    <w:rsid w:val="00514C97"/>
    <w:rsid w:val="005159F5"/>
    <w:rsid w:val="00526200"/>
    <w:rsid w:val="005269CF"/>
    <w:rsid w:val="00533886"/>
    <w:rsid w:val="0053418A"/>
    <w:rsid w:val="00535AC6"/>
    <w:rsid w:val="00537550"/>
    <w:rsid w:val="0054317B"/>
    <w:rsid w:val="00546DEA"/>
    <w:rsid w:val="005639F8"/>
    <w:rsid w:val="005656AA"/>
    <w:rsid w:val="005742DB"/>
    <w:rsid w:val="00577C08"/>
    <w:rsid w:val="005802BD"/>
    <w:rsid w:val="0058151C"/>
    <w:rsid w:val="00581CE7"/>
    <w:rsid w:val="00582F5C"/>
    <w:rsid w:val="0058472C"/>
    <w:rsid w:val="005870E5"/>
    <w:rsid w:val="005873D6"/>
    <w:rsid w:val="005876DE"/>
    <w:rsid w:val="00596702"/>
    <w:rsid w:val="005A1A17"/>
    <w:rsid w:val="005A4523"/>
    <w:rsid w:val="005A4707"/>
    <w:rsid w:val="005B0CDC"/>
    <w:rsid w:val="005B23F7"/>
    <w:rsid w:val="005B7128"/>
    <w:rsid w:val="005B76D5"/>
    <w:rsid w:val="005B7B7E"/>
    <w:rsid w:val="005C468E"/>
    <w:rsid w:val="005D06D6"/>
    <w:rsid w:val="005D1EE1"/>
    <w:rsid w:val="005D2762"/>
    <w:rsid w:val="005D2AEE"/>
    <w:rsid w:val="005D3F96"/>
    <w:rsid w:val="005D5DDF"/>
    <w:rsid w:val="005D6A5C"/>
    <w:rsid w:val="005E05D4"/>
    <w:rsid w:val="005E207A"/>
    <w:rsid w:val="005E2143"/>
    <w:rsid w:val="005F0995"/>
    <w:rsid w:val="005F1E35"/>
    <w:rsid w:val="005F36D9"/>
    <w:rsid w:val="005F4F92"/>
    <w:rsid w:val="005F6C71"/>
    <w:rsid w:val="005F71EC"/>
    <w:rsid w:val="005F7613"/>
    <w:rsid w:val="006062AE"/>
    <w:rsid w:val="0060656D"/>
    <w:rsid w:val="00606B5A"/>
    <w:rsid w:val="00610884"/>
    <w:rsid w:val="00614347"/>
    <w:rsid w:val="006147DA"/>
    <w:rsid w:val="0062702A"/>
    <w:rsid w:val="00636DF8"/>
    <w:rsid w:val="006404F1"/>
    <w:rsid w:val="0064449B"/>
    <w:rsid w:val="00644EED"/>
    <w:rsid w:val="006467C4"/>
    <w:rsid w:val="00651C9C"/>
    <w:rsid w:val="00654D8C"/>
    <w:rsid w:val="006555D8"/>
    <w:rsid w:val="00655638"/>
    <w:rsid w:val="006610FC"/>
    <w:rsid w:val="0066440C"/>
    <w:rsid w:val="00664832"/>
    <w:rsid w:val="006670DB"/>
    <w:rsid w:val="00667C57"/>
    <w:rsid w:val="0067586A"/>
    <w:rsid w:val="00680EEB"/>
    <w:rsid w:val="006811BF"/>
    <w:rsid w:val="00681C0F"/>
    <w:rsid w:val="00682D7C"/>
    <w:rsid w:val="00682FAD"/>
    <w:rsid w:val="0068494D"/>
    <w:rsid w:val="00690D6C"/>
    <w:rsid w:val="006945D3"/>
    <w:rsid w:val="006A1BD7"/>
    <w:rsid w:val="006A3112"/>
    <w:rsid w:val="006B1080"/>
    <w:rsid w:val="006B6EA3"/>
    <w:rsid w:val="006C0CC1"/>
    <w:rsid w:val="006C6B87"/>
    <w:rsid w:val="006C70ED"/>
    <w:rsid w:val="006D4B56"/>
    <w:rsid w:val="006D4CCC"/>
    <w:rsid w:val="006D5D5F"/>
    <w:rsid w:val="006E155C"/>
    <w:rsid w:val="006E65EC"/>
    <w:rsid w:val="006E7520"/>
    <w:rsid w:val="006F03ED"/>
    <w:rsid w:val="006F67E6"/>
    <w:rsid w:val="006F77F7"/>
    <w:rsid w:val="00700D32"/>
    <w:rsid w:val="0070138D"/>
    <w:rsid w:val="00701A2B"/>
    <w:rsid w:val="0070266E"/>
    <w:rsid w:val="00705429"/>
    <w:rsid w:val="0070730B"/>
    <w:rsid w:val="00712BC5"/>
    <w:rsid w:val="00715CA4"/>
    <w:rsid w:val="00716EAC"/>
    <w:rsid w:val="00720395"/>
    <w:rsid w:val="00722AAE"/>
    <w:rsid w:val="0072448B"/>
    <w:rsid w:val="007245EF"/>
    <w:rsid w:val="00726016"/>
    <w:rsid w:val="00726F82"/>
    <w:rsid w:val="007432F4"/>
    <w:rsid w:val="0075401E"/>
    <w:rsid w:val="00755471"/>
    <w:rsid w:val="007556A8"/>
    <w:rsid w:val="00756686"/>
    <w:rsid w:val="00760DDA"/>
    <w:rsid w:val="00760FBD"/>
    <w:rsid w:val="007768A2"/>
    <w:rsid w:val="00776FE6"/>
    <w:rsid w:val="007812EA"/>
    <w:rsid w:val="00781F1A"/>
    <w:rsid w:val="00782C84"/>
    <w:rsid w:val="00784D8F"/>
    <w:rsid w:val="007912E9"/>
    <w:rsid w:val="007923BD"/>
    <w:rsid w:val="00793820"/>
    <w:rsid w:val="00797654"/>
    <w:rsid w:val="00797B14"/>
    <w:rsid w:val="007A022B"/>
    <w:rsid w:val="007A1A73"/>
    <w:rsid w:val="007A36E9"/>
    <w:rsid w:val="007A4FEA"/>
    <w:rsid w:val="007A5B26"/>
    <w:rsid w:val="007A710B"/>
    <w:rsid w:val="007B0B70"/>
    <w:rsid w:val="007B317A"/>
    <w:rsid w:val="007B4614"/>
    <w:rsid w:val="007B7812"/>
    <w:rsid w:val="007C11E0"/>
    <w:rsid w:val="007C3308"/>
    <w:rsid w:val="007C4C1F"/>
    <w:rsid w:val="007D1773"/>
    <w:rsid w:val="007D3096"/>
    <w:rsid w:val="007D4356"/>
    <w:rsid w:val="007D520B"/>
    <w:rsid w:val="007D5225"/>
    <w:rsid w:val="007D6192"/>
    <w:rsid w:val="007D646F"/>
    <w:rsid w:val="007E0035"/>
    <w:rsid w:val="007F05BA"/>
    <w:rsid w:val="007F1688"/>
    <w:rsid w:val="007F17C2"/>
    <w:rsid w:val="007F3051"/>
    <w:rsid w:val="007F445F"/>
    <w:rsid w:val="007F69C4"/>
    <w:rsid w:val="00800158"/>
    <w:rsid w:val="00800C49"/>
    <w:rsid w:val="00805B1A"/>
    <w:rsid w:val="00812666"/>
    <w:rsid w:val="00816354"/>
    <w:rsid w:val="00825BEF"/>
    <w:rsid w:val="008275DE"/>
    <w:rsid w:val="0083025F"/>
    <w:rsid w:val="00831A4E"/>
    <w:rsid w:val="00834158"/>
    <w:rsid w:val="00834F29"/>
    <w:rsid w:val="00837133"/>
    <w:rsid w:val="00841FDD"/>
    <w:rsid w:val="00843099"/>
    <w:rsid w:val="00844A63"/>
    <w:rsid w:val="00845B6B"/>
    <w:rsid w:val="0085555C"/>
    <w:rsid w:val="0085722C"/>
    <w:rsid w:val="00860076"/>
    <w:rsid w:val="00864B42"/>
    <w:rsid w:val="00864EDC"/>
    <w:rsid w:val="008717FD"/>
    <w:rsid w:val="00872085"/>
    <w:rsid w:val="0087311E"/>
    <w:rsid w:val="008766A7"/>
    <w:rsid w:val="0088023F"/>
    <w:rsid w:val="00884AB2"/>
    <w:rsid w:val="008853E8"/>
    <w:rsid w:val="00890B67"/>
    <w:rsid w:val="00893361"/>
    <w:rsid w:val="00893A8E"/>
    <w:rsid w:val="00893CE3"/>
    <w:rsid w:val="008941F8"/>
    <w:rsid w:val="0089639E"/>
    <w:rsid w:val="0089684C"/>
    <w:rsid w:val="008A328F"/>
    <w:rsid w:val="008A42EB"/>
    <w:rsid w:val="008A4E58"/>
    <w:rsid w:val="008A5709"/>
    <w:rsid w:val="008B1A6F"/>
    <w:rsid w:val="008B35DA"/>
    <w:rsid w:val="008B6562"/>
    <w:rsid w:val="008B7C56"/>
    <w:rsid w:val="008C1BE0"/>
    <w:rsid w:val="008C5328"/>
    <w:rsid w:val="008C6844"/>
    <w:rsid w:val="008D1502"/>
    <w:rsid w:val="008D2E6B"/>
    <w:rsid w:val="008D3059"/>
    <w:rsid w:val="008D44E2"/>
    <w:rsid w:val="008D5C1F"/>
    <w:rsid w:val="008D612C"/>
    <w:rsid w:val="008E0C90"/>
    <w:rsid w:val="008E340A"/>
    <w:rsid w:val="008F024A"/>
    <w:rsid w:val="008F4CD3"/>
    <w:rsid w:val="008F62FB"/>
    <w:rsid w:val="00900B1D"/>
    <w:rsid w:val="00901C67"/>
    <w:rsid w:val="009058DF"/>
    <w:rsid w:val="00910D7C"/>
    <w:rsid w:val="00910E34"/>
    <w:rsid w:val="00911CE5"/>
    <w:rsid w:val="009133CD"/>
    <w:rsid w:val="0091490C"/>
    <w:rsid w:val="009204DB"/>
    <w:rsid w:val="009206E4"/>
    <w:rsid w:val="0092128F"/>
    <w:rsid w:val="00922063"/>
    <w:rsid w:val="009220D3"/>
    <w:rsid w:val="009226F2"/>
    <w:rsid w:val="00926314"/>
    <w:rsid w:val="00930317"/>
    <w:rsid w:val="00933333"/>
    <w:rsid w:val="0093364F"/>
    <w:rsid w:val="00934E57"/>
    <w:rsid w:val="00936A0A"/>
    <w:rsid w:val="00944176"/>
    <w:rsid w:val="0094724D"/>
    <w:rsid w:val="009510ED"/>
    <w:rsid w:val="00954E13"/>
    <w:rsid w:val="00955098"/>
    <w:rsid w:val="00962A6D"/>
    <w:rsid w:val="009642C6"/>
    <w:rsid w:val="0096452B"/>
    <w:rsid w:val="00975377"/>
    <w:rsid w:val="0097752F"/>
    <w:rsid w:val="00980E2D"/>
    <w:rsid w:val="00981308"/>
    <w:rsid w:val="00983CDC"/>
    <w:rsid w:val="00983E62"/>
    <w:rsid w:val="00984743"/>
    <w:rsid w:val="00985D99"/>
    <w:rsid w:val="00987A4E"/>
    <w:rsid w:val="00987C57"/>
    <w:rsid w:val="0099188F"/>
    <w:rsid w:val="00993328"/>
    <w:rsid w:val="00995822"/>
    <w:rsid w:val="00997A44"/>
    <w:rsid w:val="009A1FC7"/>
    <w:rsid w:val="009A7254"/>
    <w:rsid w:val="009B2BF4"/>
    <w:rsid w:val="009B52A3"/>
    <w:rsid w:val="009B53BA"/>
    <w:rsid w:val="009B609B"/>
    <w:rsid w:val="009B6F4E"/>
    <w:rsid w:val="009B6FA5"/>
    <w:rsid w:val="009B74CD"/>
    <w:rsid w:val="009D1F6F"/>
    <w:rsid w:val="009D38DB"/>
    <w:rsid w:val="009D3D0A"/>
    <w:rsid w:val="009D628E"/>
    <w:rsid w:val="009D62DE"/>
    <w:rsid w:val="009E1F06"/>
    <w:rsid w:val="009E5DEF"/>
    <w:rsid w:val="009E6B6B"/>
    <w:rsid w:val="009F3B36"/>
    <w:rsid w:val="009F79E3"/>
    <w:rsid w:val="00A01A52"/>
    <w:rsid w:val="00A02A0A"/>
    <w:rsid w:val="00A04717"/>
    <w:rsid w:val="00A04E49"/>
    <w:rsid w:val="00A10236"/>
    <w:rsid w:val="00A10B7E"/>
    <w:rsid w:val="00A11E9D"/>
    <w:rsid w:val="00A1598C"/>
    <w:rsid w:val="00A15EDE"/>
    <w:rsid w:val="00A163CB"/>
    <w:rsid w:val="00A24789"/>
    <w:rsid w:val="00A25268"/>
    <w:rsid w:val="00A34924"/>
    <w:rsid w:val="00A35F3F"/>
    <w:rsid w:val="00A40234"/>
    <w:rsid w:val="00A4496C"/>
    <w:rsid w:val="00A51BDA"/>
    <w:rsid w:val="00A52FED"/>
    <w:rsid w:val="00A547EA"/>
    <w:rsid w:val="00A54EE3"/>
    <w:rsid w:val="00A60040"/>
    <w:rsid w:val="00A61125"/>
    <w:rsid w:val="00A64033"/>
    <w:rsid w:val="00A65635"/>
    <w:rsid w:val="00A66230"/>
    <w:rsid w:val="00A66B33"/>
    <w:rsid w:val="00A706DE"/>
    <w:rsid w:val="00A70BEA"/>
    <w:rsid w:val="00A7226B"/>
    <w:rsid w:val="00A77E2C"/>
    <w:rsid w:val="00A806B3"/>
    <w:rsid w:val="00A80E57"/>
    <w:rsid w:val="00A82337"/>
    <w:rsid w:val="00A90118"/>
    <w:rsid w:val="00A90821"/>
    <w:rsid w:val="00A928C5"/>
    <w:rsid w:val="00A94CCD"/>
    <w:rsid w:val="00A955A3"/>
    <w:rsid w:val="00A958C2"/>
    <w:rsid w:val="00A95C9E"/>
    <w:rsid w:val="00A96933"/>
    <w:rsid w:val="00A97D34"/>
    <w:rsid w:val="00AA175E"/>
    <w:rsid w:val="00AA1B3F"/>
    <w:rsid w:val="00AA565B"/>
    <w:rsid w:val="00AA6572"/>
    <w:rsid w:val="00AA6DE0"/>
    <w:rsid w:val="00AB0EDD"/>
    <w:rsid w:val="00AB238D"/>
    <w:rsid w:val="00AC5DC1"/>
    <w:rsid w:val="00AD1275"/>
    <w:rsid w:val="00AD56BA"/>
    <w:rsid w:val="00AE5941"/>
    <w:rsid w:val="00AE7E72"/>
    <w:rsid w:val="00AF00B0"/>
    <w:rsid w:val="00AF0B6E"/>
    <w:rsid w:val="00AF0C1B"/>
    <w:rsid w:val="00AF1152"/>
    <w:rsid w:val="00AF20DE"/>
    <w:rsid w:val="00AF2C7E"/>
    <w:rsid w:val="00AF337C"/>
    <w:rsid w:val="00AF365B"/>
    <w:rsid w:val="00AF3BC9"/>
    <w:rsid w:val="00B0152E"/>
    <w:rsid w:val="00B06F77"/>
    <w:rsid w:val="00B17EA4"/>
    <w:rsid w:val="00B2401D"/>
    <w:rsid w:val="00B271E2"/>
    <w:rsid w:val="00B27F1E"/>
    <w:rsid w:val="00B320E0"/>
    <w:rsid w:val="00B32D83"/>
    <w:rsid w:val="00B35A2B"/>
    <w:rsid w:val="00B44C87"/>
    <w:rsid w:val="00B47772"/>
    <w:rsid w:val="00B525E7"/>
    <w:rsid w:val="00B5298A"/>
    <w:rsid w:val="00B52BC2"/>
    <w:rsid w:val="00B54B9E"/>
    <w:rsid w:val="00B5655B"/>
    <w:rsid w:val="00B602C0"/>
    <w:rsid w:val="00B639CC"/>
    <w:rsid w:val="00B65AA6"/>
    <w:rsid w:val="00B67A38"/>
    <w:rsid w:val="00B736AC"/>
    <w:rsid w:val="00B753D4"/>
    <w:rsid w:val="00B777DB"/>
    <w:rsid w:val="00B804DA"/>
    <w:rsid w:val="00B83BD4"/>
    <w:rsid w:val="00B873B1"/>
    <w:rsid w:val="00B91C42"/>
    <w:rsid w:val="00BB0ED6"/>
    <w:rsid w:val="00BB1C0A"/>
    <w:rsid w:val="00BB4376"/>
    <w:rsid w:val="00BB4A45"/>
    <w:rsid w:val="00BB4B74"/>
    <w:rsid w:val="00BB6FED"/>
    <w:rsid w:val="00BC41B2"/>
    <w:rsid w:val="00BC45B6"/>
    <w:rsid w:val="00BC4F9E"/>
    <w:rsid w:val="00BE0799"/>
    <w:rsid w:val="00BE26D9"/>
    <w:rsid w:val="00BF1119"/>
    <w:rsid w:val="00BF5510"/>
    <w:rsid w:val="00C00C31"/>
    <w:rsid w:val="00C070A2"/>
    <w:rsid w:val="00C10D37"/>
    <w:rsid w:val="00C13A0F"/>
    <w:rsid w:val="00C14C4A"/>
    <w:rsid w:val="00C17E66"/>
    <w:rsid w:val="00C22482"/>
    <w:rsid w:val="00C242A9"/>
    <w:rsid w:val="00C24D87"/>
    <w:rsid w:val="00C3032A"/>
    <w:rsid w:val="00C31C6D"/>
    <w:rsid w:val="00C31FF2"/>
    <w:rsid w:val="00C33C36"/>
    <w:rsid w:val="00C34E53"/>
    <w:rsid w:val="00C37264"/>
    <w:rsid w:val="00C408D1"/>
    <w:rsid w:val="00C44645"/>
    <w:rsid w:val="00C50A3F"/>
    <w:rsid w:val="00C51474"/>
    <w:rsid w:val="00C51847"/>
    <w:rsid w:val="00C55C36"/>
    <w:rsid w:val="00C61072"/>
    <w:rsid w:val="00C6137D"/>
    <w:rsid w:val="00C61540"/>
    <w:rsid w:val="00C61B0C"/>
    <w:rsid w:val="00C634E4"/>
    <w:rsid w:val="00C67D4C"/>
    <w:rsid w:val="00C706FA"/>
    <w:rsid w:val="00C808FE"/>
    <w:rsid w:val="00C81D18"/>
    <w:rsid w:val="00C82258"/>
    <w:rsid w:val="00C82744"/>
    <w:rsid w:val="00C836D9"/>
    <w:rsid w:val="00C84109"/>
    <w:rsid w:val="00C843F0"/>
    <w:rsid w:val="00C85F66"/>
    <w:rsid w:val="00C95F0B"/>
    <w:rsid w:val="00CA0CFD"/>
    <w:rsid w:val="00CA37C8"/>
    <w:rsid w:val="00CA5047"/>
    <w:rsid w:val="00CA7C2A"/>
    <w:rsid w:val="00CC1221"/>
    <w:rsid w:val="00CC4EE7"/>
    <w:rsid w:val="00CD4CC6"/>
    <w:rsid w:val="00CD5C22"/>
    <w:rsid w:val="00CE363E"/>
    <w:rsid w:val="00CF1430"/>
    <w:rsid w:val="00CF1AE4"/>
    <w:rsid w:val="00D0046C"/>
    <w:rsid w:val="00D00979"/>
    <w:rsid w:val="00D01E3B"/>
    <w:rsid w:val="00D05480"/>
    <w:rsid w:val="00D06EEA"/>
    <w:rsid w:val="00D11946"/>
    <w:rsid w:val="00D14F71"/>
    <w:rsid w:val="00D15612"/>
    <w:rsid w:val="00D156E5"/>
    <w:rsid w:val="00D17A89"/>
    <w:rsid w:val="00D204BD"/>
    <w:rsid w:val="00D21619"/>
    <w:rsid w:val="00D21B1B"/>
    <w:rsid w:val="00D220B5"/>
    <w:rsid w:val="00D26063"/>
    <w:rsid w:val="00D30FB0"/>
    <w:rsid w:val="00D32832"/>
    <w:rsid w:val="00D33C76"/>
    <w:rsid w:val="00D34827"/>
    <w:rsid w:val="00D3642E"/>
    <w:rsid w:val="00D41F8D"/>
    <w:rsid w:val="00D451AB"/>
    <w:rsid w:val="00D50991"/>
    <w:rsid w:val="00D578AF"/>
    <w:rsid w:val="00D61DA0"/>
    <w:rsid w:val="00D65D7A"/>
    <w:rsid w:val="00D6793A"/>
    <w:rsid w:val="00D7347C"/>
    <w:rsid w:val="00D74D7F"/>
    <w:rsid w:val="00D75348"/>
    <w:rsid w:val="00D80F6F"/>
    <w:rsid w:val="00D820E3"/>
    <w:rsid w:val="00D9342C"/>
    <w:rsid w:val="00D944CB"/>
    <w:rsid w:val="00DA326B"/>
    <w:rsid w:val="00DA3BCE"/>
    <w:rsid w:val="00DA59FA"/>
    <w:rsid w:val="00DB1157"/>
    <w:rsid w:val="00DB295F"/>
    <w:rsid w:val="00DB29E4"/>
    <w:rsid w:val="00DB3826"/>
    <w:rsid w:val="00DB47DC"/>
    <w:rsid w:val="00DB74F2"/>
    <w:rsid w:val="00DC205C"/>
    <w:rsid w:val="00DC5687"/>
    <w:rsid w:val="00DC6575"/>
    <w:rsid w:val="00DC7A5D"/>
    <w:rsid w:val="00DD00EF"/>
    <w:rsid w:val="00DD1CF8"/>
    <w:rsid w:val="00DD6102"/>
    <w:rsid w:val="00DD71F1"/>
    <w:rsid w:val="00DE00C5"/>
    <w:rsid w:val="00DE3FB5"/>
    <w:rsid w:val="00DF2749"/>
    <w:rsid w:val="00DF60A6"/>
    <w:rsid w:val="00E00D0A"/>
    <w:rsid w:val="00E05B5A"/>
    <w:rsid w:val="00E05F1B"/>
    <w:rsid w:val="00E07B93"/>
    <w:rsid w:val="00E07E15"/>
    <w:rsid w:val="00E1354A"/>
    <w:rsid w:val="00E161F8"/>
    <w:rsid w:val="00E26EE5"/>
    <w:rsid w:val="00E32815"/>
    <w:rsid w:val="00E33554"/>
    <w:rsid w:val="00E40596"/>
    <w:rsid w:val="00E40BA9"/>
    <w:rsid w:val="00E41B77"/>
    <w:rsid w:val="00E45EC3"/>
    <w:rsid w:val="00E47C4F"/>
    <w:rsid w:val="00E541A3"/>
    <w:rsid w:val="00E637BB"/>
    <w:rsid w:val="00E638C8"/>
    <w:rsid w:val="00E658DD"/>
    <w:rsid w:val="00E65D7E"/>
    <w:rsid w:val="00E70383"/>
    <w:rsid w:val="00E7427C"/>
    <w:rsid w:val="00E75972"/>
    <w:rsid w:val="00E815D2"/>
    <w:rsid w:val="00E82204"/>
    <w:rsid w:val="00E8377B"/>
    <w:rsid w:val="00E83A77"/>
    <w:rsid w:val="00E8796C"/>
    <w:rsid w:val="00E90251"/>
    <w:rsid w:val="00E933C0"/>
    <w:rsid w:val="00E962B7"/>
    <w:rsid w:val="00E96877"/>
    <w:rsid w:val="00E978BF"/>
    <w:rsid w:val="00EA1188"/>
    <w:rsid w:val="00EB0752"/>
    <w:rsid w:val="00EB0AE1"/>
    <w:rsid w:val="00EB1186"/>
    <w:rsid w:val="00EB77CC"/>
    <w:rsid w:val="00EC0997"/>
    <w:rsid w:val="00EC2EEF"/>
    <w:rsid w:val="00EC5DDD"/>
    <w:rsid w:val="00ED2F39"/>
    <w:rsid w:val="00ED30F4"/>
    <w:rsid w:val="00ED43BB"/>
    <w:rsid w:val="00ED449A"/>
    <w:rsid w:val="00ED68E9"/>
    <w:rsid w:val="00EE1FC2"/>
    <w:rsid w:val="00EF670C"/>
    <w:rsid w:val="00F11F09"/>
    <w:rsid w:val="00F1455B"/>
    <w:rsid w:val="00F16D36"/>
    <w:rsid w:val="00F210FD"/>
    <w:rsid w:val="00F250D2"/>
    <w:rsid w:val="00F33087"/>
    <w:rsid w:val="00F350B2"/>
    <w:rsid w:val="00F372A2"/>
    <w:rsid w:val="00F4243D"/>
    <w:rsid w:val="00F4304A"/>
    <w:rsid w:val="00F43155"/>
    <w:rsid w:val="00F44DA4"/>
    <w:rsid w:val="00F45BA7"/>
    <w:rsid w:val="00F45BE9"/>
    <w:rsid w:val="00F46308"/>
    <w:rsid w:val="00F46F4A"/>
    <w:rsid w:val="00F52CE1"/>
    <w:rsid w:val="00F57917"/>
    <w:rsid w:val="00F60788"/>
    <w:rsid w:val="00F7063D"/>
    <w:rsid w:val="00F70C88"/>
    <w:rsid w:val="00F7168A"/>
    <w:rsid w:val="00F734AD"/>
    <w:rsid w:val="00F745D9"/>
    <w:rsid w:val="00F76618"/>
    <w:rsid w:val="00F76E42"/>
    <w:rsid w:val="00F81D1B"/>
    <w:rsid w:val="00F83FBC"/>
    <w:rsid w:val="00F841A7"/>
    <w:rsid w:val="00F84292"/>
    <w:rsid w:val="00F85E04"/>
    <w:rsid w:val="00F864DA"/>
    <w:rsid w:val="00F9134D"/>
    <w:rsid w:val="00F916DA"/>
    <w:rsid w:val="00F92643"/>
    <w:rsid w:val="00F936B3"/>
    <w:rsid w:val="00F97F7D"/>
    <w:rsid w:val="00FA0333"/>
    <w:rsid w:val="00FA19D5"/>
    <w:rsid w:val="00FA3EE8"/>
    <w:rsid w:val="00FA6669"/>
    <w:rsid w:val="00FA7639"/>
    <w:rsid w:val="00FB3457"/>
    <w:rsid w:val="00FB3E2C"/>
    <w:rsid w:val="00FB695B"/>
    <w:rsid w:val="00FC037E"/>
    <w:rsid w:val="00FC19B9"/>
    <w:rsid w:val="00FC4DE3"/>
    <w:rsid w:val="00FC6716"/>
    <w:rsid w:val="00FD00A5"/>
    <w:rsid w:val="00FD4B0F"/>
    <w:rsid w:val="00FE0661"/>
    <w:rsid w:val="00FF0C09"/>
    <w:rsid w:val="00FF1DD7"/>
    <w:rsid w:val="00FF3775"/>
    <w:rsid w:val="01CE5D1C"/>
    <w:rsid w:val="020611E9"/>
    <w:rsid w:val="03661A20"/>
    <w:rsid w:val="039E595D"/>
    <w:rsid w:val="042D6E6F"/>
    <w:rsid w:val="043438CC"/>
    <w:rsid w:val="053D0E7E"/>
    <w:rsid w:val="05AD3936"/>
    <w:rsid w:val="070F07F6"/>
    <w:rsid w:val="07E15B19"/>
    <w:rsid w:val="08083403"/>
    <w:rsid w:val="09BE5E2A"/>
    <w:rsid w:val="0A091F73"/>
    <w:rsid w:val="0A8504E9"/>
    <w:rsid w:val="0ABF65E6"/>
    <w:rsid w:val="0B73117E"/>
    <w:rsid w:val="0C234952"/>
    <w:rsid w:val="0D92619C"/>
    <w:rsid w:val="0E4C5F96"/>
    <w:rsid w:val="0EB020D5"/>
    <w:rsid w:val="0F412CA9"/>
    <w:rsid w:val="0F501F02"/>
    <w:rsid w:val="0FD566D2"/>
    <w:rsid w:val="1034712E"/>
    <w:rsid w:val="104430E9"/>
    <w:rsid w:val="1154735C"/>
    <w:rsid w:val="11E84674"/>
    <w:rsid w:val="13B2170D"/>
    <w:rsid w:val="13B97480"/>
    <w:rsid w:val="14034EB5"/>
    <w:rsid w:val="14100781"/>
    <w:rsid w:val="14870494"/>
    <w:rsid w:val="149F4D92"/>
    <w:rsid w:val="15085E8C"/>
    <w:rsid w:val="15174F60"/>
    <w:rsid w:val="1556095A"/>
    <w:rsid w:val="158B6F91"/>
    <w:rsid w:val="15A308B2"/>
    <w:rsid w:val="167D7F24"/>
    <w:rsid w:val="17306AB5"/>
    <w:rsid w:val="17373F64"/>
    <w:rsid w:val="182201B4"/>
    <w:rsid w:val="191C10A7"/>
    <w:rsid w:val="19A054D6"/>
    <w:rsid w:val="19BD4703"/>
    <w:rsid w:val="19C808E7"/>
    <w:rsid w:val="1A2975D8"/>
    <w:rsid w:val="1B0717C8"/>
    <w:rsid w:val="1BD25A4D"/>
    <w:rsid w:val="1BE33681"/>
    <w:rsid w:val="1C9D65B1"/>
    <w:rsid w:val="1CB6536F"/>
    <w:rsid w:val="1CD2683A"/>
    <w:rsid w:val="1E067C30"/>
    <w:rsid w:val="1E892D3B"/>
    <w:rsid w:val="20653288"/>
    <w:rsid w:val="21862EC6"/>
    <w:rsid w:val="22407BB4"/>
    <w:rsid w:val="237A2B2A"/>
    <w:rsid w:val="23955CDE"/>
    <w:rsid w:val="23FF13A9"/>
    <w:rsid w:val="24DB1E16"/>
    <w:rsid w:val="2638158E"/>
    <w:rsid w:val="269E134D"/>
    <w:rsid w:val="26F45411"/>
    <w:rsid w:val="27C052F3"/>
    <w:rsid w:val="283642C0"/>
    <w:rsid w:val="287F6F5C"/>
    <w:rsid w:val="29634188"/>
    <w:rsid w:val="29E11C7D"/>
    <w:rsid w:val="2A2A6F25"/>
    <w:rsid w:val="2A4C2E6E"/>
    <w:rsid w:val="2C4F36F5"/>
    <w:rsid w:val="2CF60F59"/>
    <w:rsid w:val="2D1B36F8"/>
    <w:rsid w:val="2D281971"/>
    <w:rsid w:val="2D5F22BD"/>
    <w:rsid w:val="2DC51261"/>
    <w:rsid w:val="2F083808"/>
    <w:rsid w:val="2FF37D11"/>
    <w:rsid w:val="3013049D"/>
    <w:rsid w:val="3036354F"/>
    <w:rsid w:val="30457642"/>
    <w:rsid w:val="32FF19A5"/>
    <w:rsid w:val="332C3D99"/>
    <w:rsid w:val="33920F56"/>
    <w:rsid w:val="357C7EED"/>
    <w:rsid w:val="35C36F6D"/>
    <w:rsid w:val="365875C5"/>
    <w:rsid w:val="36EA7C97"/>
    <w:rsid w:val="376B527C"/>
    <w:rsid w:val="39356049"/>
    <w:rsid w:val="3A695377"/>
    <w:rsid w:val="3B4E60E4"/>
    <w:rsid w:val="3B5A6F24"/>
    <w:rsid w:val="3B5B1163"/>
    <w:rsid w:val="3BFE2074"/>
    <w:rsid w:val="3CC86FC9"/>
    <w:rsid w:val="3D606F05"/>
    <w:rsid w:val="3E444130"/>
    <w:rsid w:val="3E7F160D"/>
    <w:rsid w:val="3F5C54AA"/>
    <w:rsid w:val="3F8C7277"/>
    <w:rsid w:val="3FA0222F"/>
    <w:rsid w:val="3FA67B3A"/>
    <w:rsid w:val="3FD37E62"/>
    <w:rsid w:val="3FF1653A"/>
    <w:rsid w:val="405A7C3B"/>
    <w:rsid w:val="40C91210"/>
    <w:rsid w:val="416C40CA"/>
    <w:rsid w:val="41797A93"/>
    <w:rsid w:val="41BC1DE0"/>
    <w:rsid w:val="426C1EA8"/>
    <w:rsid w:val="42982C9D"/>
    <w:rsid w:val="42D769B6"/>
    <w:rsid w:val="431A7B56"/>
    <w:rsid w:val="43380BCF"/>
    <w:rsid w:val="44F600D3"/>
    <w:rsid w:val="45617704"/>
    <w:rsid w:val="45AB2CE7"/>
    <w:rsid w:val="46671304"/>
    <w:rsid w:val="46A354E4"/>
    <w:rsid w:val="46A55988"/>
    <w:rsid w:val="47110682"/>
    <w:rsid w:val="47617B01"/>
    <w:rsid w:val="48B048DB"/>
    <w:rsid w:val="4AB83EDC"/>
    <w:rsid w:val="4B8C0594"/>
    <w:rsid w:val="4BB52B12"/>
    <w:rsid w:val="4C0F7B1B"/>
    <w:rsid w:val="4CFE380A"/>
    <w:rsid w:val="4D862B8C"/>
    <w:rsid w:val="4DF80A94"/>
    <w:rsid w:val="4DFF35F5"/>
    <w:rsid w:val="4EF47599"/>
    <w:rsid w:val="4F1A1B6C"/>
    <w:rsid w:val="4F2C6C47"/>
    <w:rsid w:val="4FE3578A"/>
    <w:rsid w:val="4FF534DD"/>
    <w:rsid w:val="502B5524"/>
    <w:rsid w:val="50A647D0"/>
    <w:rsid w:val="50B82E88"/>
    <w:rsid w:val="51776D26"/>
    <w:rsid w:val="52F61A46"/>
    <w:rsid w:val="53E45D42"/>
    <w:rsid w:val="54E94B5B"/>
    <w:rsid w:val="55661639"/>
    <w:rsid w:val="556A7C72"/>
    <w:rsid w:val="55761622"/>
    <w:rsid w:val="565F7902"/>
    <w:rsid w:val="56E322E1"/>
    <w:rsid w:val="57877110"/>
    <w:rsid w:val="58331046"/>
    <w:rsid w:val="590D1897"/>
    <w:rsid w:val="5B0B62AA"/>
    <w:rsid w:val="5BD857FA"/>
    <w:rsid w:val="5C080481"/>
    <w:rsid w:val="5CF50FC0"/>
    <w:rsid w:val="5D283143"/>
    <w:rsid w:val="5E202145"/>
    <w:rsid w:val="5F1576F7"/>
    <w:rsid w:val="5F36141C"/>
    <w:rsid w:val="5F621BCD"/>
    <w:rsid w:val="6031647B"/>
    <w:rsid w:val="60863F57"/>
    <w:rsid w:val="61453B98"/>
    <w:rsid w:val="61461DEA"/>
    <w:rsid w:val="617C3A5E"/>
    <w:rsid w:val="61963763"/>
    <w:rsid w:val="6198016C"/>
    <w:rsid w:val="624A590A"/>
    <w:rsid w:val="62816E52"/>
    <w:rsid w:val="62F74A7A"/>
    <w:rsid w:val="668E2223"/>
    <w:rsid w:val="670C13E0"/>
    <w:rsid w:val="682269E1"/>
    <w:rsid w:val="68242759"/>
    <w:rsid w:val="683026D9"/>
    <w:rsid w:val="689A6DDC"/>
    <w:rsid w:val="693F388B"/>
    <w:rsid w:val="6AC5646E"/>
    <w:rsid w:val="6AD910F1"/>
    <w:rsid w:val="6DBA21A1"/>
    <w:rsid w:val="6DF03981"/>
    <w:rsid w:val="6E3336F6"/>
    <w:rsid w:val="6ED22F0F"/>
    <w:rsid w:val="6EDD3662"/>
    <w:rsid w:val="6F8557A7"/>
    <w:rsid w:val="709366CE"/>
    <w:rsid w:val="70E707C8"/>
    <w:rsid w:val="70E8113B"/>
    <w:rsid w:val="71352C64"/>
    <w:rsid w:val="71840FD7"/>
    <w:rsid w:val="72A050D2"/>
    <w:rsid w:val="73013DC3"/>
    <w:rsid w:val="73731F46"/>
    <w:rsid w:val="742A7349"/>
    <w:rsid w:val="75CA2B92"/>
    <w:rsid w:val="768C42EB"/>
    <w:rsid w:val="77E67A2B"/>
    <w:rsid w:val="78AF3D07"/>
    <w:rsid w:val="78E31822"/>
    <w:rsid w:val="7AF5051C"/>
    <w:rsid w:val="7B7A6E08"/>
    <w:rsid w:val="7B8F3F36"/>
    <w:rsid w:val="7BBA680A"/>
    <w:rsid w:val="7BE826AE"/>
    <w:rsid w:val="7CA12173"/>
    <w:rsid w:val="7CCF532E"/>
    <w:rsid w:val="7D1402B5"/>
    <w:rsid w:val="7D1868D9"/>
    <w:rsid w:val="7D2F59D0"/>
    <w:rsid w:val="7D782ED3"/>
    <w:rsid w:val="7D8950E1"/>
    <w:rsid w:val="7E00338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uiPriority="0" w:name="toc 1"/>
    <w:lsdException w:uiPriority="0" w:name="toc 2"/>
    <w:lsdException w:uiPriority="0" w:name="toc 3"/>
    <w:lsdException w:uiPriority="0" w:name="toc 4"/>
    <w:lsdException w:uiPriority="0" w:name="toc 5"/>
    <w:lsdException w:uiPriority="0" w:name="toc 6"/>
    <w:lsdException w:uiPriority="0" w:name="toc 7"/>
    <w:lsdException w:uiPriority="0" w:name="toc 8"/>
    <w:lsdException w:uiPriority="0" w:name="toc 9"/>
    <w:lsdException w:uiPriority="0" w:name="Normal Indent"/>
    <w:lsdException w:uiPriority="0" w:name="footnote text"/>
    <w:lsdException w:uiPriority="0" w:name="annotation text"/>
    <w:lsdException w:qFormat="1" w:unhideWhenUsed="0" w:uiPriority="0" w:semiHidden="0" w:name="header"/>
    <w:lsdException w:qFormat="1" w:unhideWhenUsed="0" w:uiPriority="99" w:semiHidden="0" w:name="footer"/>
    <w:lsdException w:uiPriority="0" w:name="index heading"/>
    <w:lsdException w:qFormat="1" w:uiPriority="0" w:name="caption"/>
    <w:lsdException w:uiPriority="0" w:name="table of figures"/>
    <w:lsdException w:uiPriority="0" w:name="envelope address"/>
    <w:lsdException w:uiPriority="0" w:name="envelope return"/>
    <w:lsdException w:uiPriority="0" w:name="footnote reference"/>
    <w:lsdException w:uiPriority="0" w:name="annotation reference"/>
    <w:lsdException w:uiPriority="0" w:name="line number"/>
    <w:lsdException w:uiPriority="0" w:name="page number"/>
    <w:lsdException w:uiPriority="0" w:name="endnote reference"/>
    <w:lsdException w:uiPriority="0" w:name="endnote text"/>
    <w:lsdException w:unhideWhenUsed="0" w:uiPriority="0" w:semiHidden="0" w:name="table of authorities"/>
    <w:lsdException w:uiPriority="0" w:name="macro"/>
    <w:lsdException w:uiPriority="0" w:name="toa heading"/>
    <w:lsdException w:unhideWhenUsed="0" w:uiPriority="0" w:semiHidden="0" w:name="List"/>
    <w:lsdException w:unhideWhenUsed="0" w:uiPriority="0" w:semiHidden="0" w:name="List Bullet"/>
    <w:lsdException w:uiPriority="0" w:name="List Number"/>
    <w:lsdException w:uiPriority="0" w:name="List 2"/>
    <w:lsdException w:uiPriority="0" w:name="List 3"/>
    <w:lsdException w:uiPriority="0" w:name="List 4"/>
    <w:lsdException w:uiPriority="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name="Default Paragraph Font"/>
    <w:lsdException w:uiPriority="0" w:name="Body Text"/>
    <w:lsdException w:uiPriority="0" w:name="Body Text Indent"/>
    <w:lsdException w:uiPriority="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iPriority="0" w:name="Message Header"/>
    <w:lsdException w:qFormat="1" w:unhideWhenUsed="0" w:uiPriority="0" w:semiHidden="0" w:name="Subtitle"/>
    <w:lsdException w:uiPriority="0" w:name="Salutation"/>
    <w:lsdException w:uiPriority="0" w:name="Date"/>
    <w:lsdException w:uiPriority="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qFormat="1" w:uiPriority="99" w:semiHidden="0" w:name="Hyperlink"/>
    <w:lsdException w:uiPriority="0" w:name="FollowedHyperlink"/>
    <w:lsdException w:qFormat="1" w:unhideWhenUsed="0" w:uiPriority="0" w:semiHidden="0" w:name="Strong"/>
    <w:lsdException w:qFormat="1" w:unhideWhenUsed="0" w:uiPriority="0" w:semiHidden="0" w:name="Emphasis"/>
    <w:lsdException w:uiPriority="0" w:name="Document Map"/>
    <w:lsdException w:uiPriority="0" w:name="Plain Text"/>
    <w:lsdException w:uiPriority="0" w:name="E-mail Signature"/>
    <w:lsdException w:qFormat="1" w:unhideWhenUsed="0" w:uiPriority="99" w:semiHidden="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iPriority="0" w:name="Balloon Text"/>
    <w:lsdException w:qFormat="1" w:unhideWhenUsed="0" w:uiPriority="39"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ind w:firstLine="880" w:firstLineChars="200"/>
      <w:jc w:val="both"/>
    </w:pPr>
    <w:rPr>
      <w:rFonts w:ascii="Times New Roman" w:hAnsi="Times New Roman" w:eastAsia="仿宋_GB2312" w:cs="Times New Roman"/>
      <w:kern w:val="2"/>
      <w:sz w:val="32"/>
      <w:szCs w:val="24"/>
      <w:lang w:val="en-US" w:eastAsia="zh-CN" w:bidi="ar-SA"/>
    </w:rPr>
  </w:style>
  <w:style w:type="character" w:default="1" w:styleId="8">
    <w:name w:val="Default Paragraph Font"/>
    <w:semiHidden/>
    <w:unhideWhenUsed/>
    <w:qFormat/>
    <w:uiPriority w:val="1"/>
  </w:style>
  <w:style w:type="table" w:default="1" w:styleId="6">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36"/>
    <w:semiHidden/>
    <w:unhideWhenUsed/>
    <w:qFormat/>
    <w:uiPriority w:val="0"/>
    <w:rPr>
      <w:sz w:val="18"/>
      <w:szCs w:val="18"/>
    </w:rPr>
  </w:style>
  <w:style w:type="paragraph" w:styleId="3">
    <w:name w:val="footer"/>
    <w:basedOn w:val="1"/>
    <w:link w:val="28"/>
    <w:qFormat/>
    <w:uiPriority w:val="99"/>
    <w:pPr>
      <w:tabs>
        <w:tab w:val="center" w:pos="4153"/>
        <w:tab w:val="right" w:pos="8306"/>
      </w:tabs>
      <w:snapToGrid w:val="0"/>
      <w:jc w:val="left"/>
    </w:pPr>
    <w:rPr>
      <w:sz w:val="18"/>
      <w:szCs w:val="18"/>
    </w:rPr>
  </w:style>
  <w:style w:type="paragraph" w:styleId="4">
    <w:name w:val="header"/>
    <w:basedOn w:val="1"/>
    <w:link w:val="27"/>
    <w:qFormat/>
    <w:uiPriority w:val="0"/>
    <w:pPr>
      <w:pBdr>
        <w:bottom w:val="single" w:color="auto" w:sz="6" w:space="1"/>
      </w:pBdr>
      <w:tabs>
        <w:tab w:val="center" w:pos="4153"/>
        <w:tab w:val="right" w:pos="8306"/>
      </w:tabs>
      <w:snapToGrid w:val="0"/>
      <w:jc w:val="center"/>
    </w:pPr>
    <w:rPr>
      <w:sz w:val="18"/>
      <w:szCs w:val="18"/>
    </w:rPr>
  </w:style>
  <w:style w:type="paragraph" w:styleId="5">
    <w:name w:val="Normal (Web)"/>
    <w:basedOn w:val="1"/>
    <w:qFormat/>
    <w:uiPriority w:val="99"/>
    <w:pPr>
      <w:spacing w:before="100" w:beforeAutospacing="1" w:after="100" w:afterAutospacing="1"/>
      <w:jc w:val="left"/>
    </w:pPr>
    <w:rPr>
      <w:kern w:val="0"/>
      <w:sz w:val="24"/>
    </w:rPr>
  </w:style>
  <w:style w:type="table" w:styleId="7">
    <w:name w:val="Table Grid"/>
    <w:basedOn w:val="6"/>
    <w:qFormat/>
    <w:uiPriority w:val="39"/>
    <w:rPr>
      <w:rFonts w:ascii="宋体"/>
      <w:sz w:val="18"/>
      <w:szCs w:val="18"/>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9">
    <w:name w:val="Strong"/>
    <w:basedOn w:val="8"/>
    <w:qFormat/>
    <w:uiPriority w:val="0"/>
    <w:rPr>
      <w:b/>
    </w:rPr>
  </w:style>
  <w:style w:type="character" w:styleId="10">
    <w:name w:val="Hyperlink"/>
    <w:basedOn w:val="8"/>
    <w:unhideWhenUsed/>
    <w:qFormat/>
    <w:uiPriority w:val="99"/>
    <w:rPr>
      <w:color w:val="0000FF"/>
      <w:u w:val="single"/>
    </w:rPr>
  </w:style>
  <w:style w:type="paragraph" w:customStyle="1" w:styleId="11">
    <w:name w:val="段"/>
    <w:link w:val="26"/>
    <w:qFormat/>
    <w:uiPriority w:val="0"/>
    <w:pPr>
      <w:tabs>
        <w:tab w:val="center" w:pos="4201"/>
        <w:tab w:val="right" w:leader="dot" w:pos="9298"/>
      </w:tabs>
      <w:autoSpaceDE w:val="0"/>
      <w:autoSpaceDN w:val="0"/>
      <w:ind w:firstLine="420" w:firstLineChars="200"/>
      <w:jc w:val="both"/>
    </w:pPr>
    <w:rPr>
      <w:rFonts w:ascii="宋体" w:hAnsi="Times New Roman" w:eastAsia="宋体" w:cs="Times New Roman"/>
      <w:sz w:val="21"/>
      <w:lang w:val="en-US" w:eastAsia="zh-CN" w:bidi="ar-SA"/>
    </w:rPr>
  </w:style>
  <w:style w:type="paragraph" w:customStyle="1" w:styleId="12">
    <w:name w:val="正文表标题"/>
    <w:next w:val="11"/>
    <w:qFormat/>
    <w:uiPriority w:val="0"/>
    <w:pPr>
      <w:spacing w:beforeLines="50" w:afterLines="50"/>
      <w:jc w:val="center"/>
    </w:pPr>
    <w:rPr>
      <w:rFonts w:ascii="黑体" w:hAnsi="Times New Roman" w:eastAsia="黑体" w:cs="Times New Roman"/>
      <w:sz w:val="21"/>
      <w:lang w:val="en-US" w:eastAsia="zh-CN" w:bidi="ar-SA"/>
    </w:rPr>
  </w:style>
  <w:style w:type="paragraph" w:customStyle="1" w:styleId="13">
    <w:name w:val="正文图标题"/>
    <w:next w:val="11"/>
    <w:qFormat/>
    <w:uiPriority w:val="0"/>
    <w:pPr>
      <w:numPr>
        <w:ilvl w:val="0"/>
        <w:numId w:val="1"/>
      </w:numPr>
      <w:tabs>
        <w:tab w:val="left" w:pos="360"/>
      </w:tabs>
      <w:spacing w:beforeLines="50" w:afterLines="50"/>
      <w:jc w:val="center"/>
    </w:pPr>
    <w:rPr>
      <w:rFonts w:ascii="黑体" w:hAnsi="Times New Roman" w:eastAsia="黑体" w:cs="Times New Roman"/>
      <w:sz w:val="21"/>
      <w:lang w:val="en-US" w:eastAsia="zh-CN" w:bidi="ar-SA"/>
    </w:rPr>
  </w:style>
  <w:style w:type="paragraph" w:customStyle="1" w:styleId="14">
    <w:name w:val="其他发布日期"/>
    <w:basedOn w:val="1"/>
    <w:qFormat/>
    <w:uiPriority w:val="0"/>
    <w:pPr>
      <w:framePr w:w="3997" w:h="471" w:hRule="exact" w:vSpace="181" w:wrap="around" w:vAnchor="page" w:hAnchor="page" w:x="1419" w:y="14097" w:anchorLock="1"/>
      <w:widowControl/>
      <w:numPr>
        <w:ilvl w:val="0"/>
        <w:numId w:val="2"/>
      </w:numPr>
      <w:jc w:val="left"/>
    </w:pPr>
    <w:rPr>
      <w:rFonts w:eastAsia="黑体"/>
      <w:kern w:val="0"/>
      <w:sz w:val="28"/>
      <w:szCs w:val="20"/>
    </w:rPr>
  </w:style>
  <w:style w:type="paragraph" w:customStyle="1" w:styleId="15">
    <w:name w:val="一级条标题"/>
    <w:next w:val="11"/>
    <w:qFormat/>
    <w:uiPriority w:val="0"/>
    <w:pPr>
      <w:numPr>
        <w:ilvl w:val="1"/>
        <w:numId w:val="3"/>
      </w:numPr>
      <w:spacing w:beforeLines="50" w:afterLines="50"/>
      <w:outlineLvl w:val="2"/>
    </w:pPr>
    <w:rPr>
      <w:rFonts w:ascii="黑体" w:hAnsi="Times New Roman" w:eastAsia="黑体" w:cs="Times New Roman"/>
      <w:sz w:val="21"/>
      <w:szCs w:val="21"/>
      <w:lang w:val="en-US" w:eastAsia="zh-CN" w:bidi="ar-SA"/>
    </w:rPr>
  </w:style>
  <w:style w:type="paragraph" w:customStyle="1" w:styleId="16">
    <w:name w:val="章标题"/>
    <w:next w:val="11"/>
    <w:qFormat/>
    <w:uiPriority w:val="0"/>
    <w:pPr>
      <w:numPr>
        <w:ilvl w:val="0"/>
        <w:numId w:val="3"/>
      </w:numPr>
      <w:spacing w:beforeLines="100" w:afterLines="100"/>
      <w:jc w:val="both"/>
      <w:outlineLvl w:val="1"/>
    </w:pPr>
    <w:rPr>
      <w:rFonts w:ascii="黑体" w:hAnsi="Times New Roman" w:eastAsia="黑体" w:cs="Times New Roman"/>
      <w:sz w:val="21"/>
      <w:lang w:val="en-US" w:eastAsia="zh-CN" w:bidi="ar-SA"/>
    </w:rPr>
  </w:style>
  <w:style w:type="paragraph" w:customStyle="1" w:styleId="17">
    <w:name w:val="二级条标题"/>
    <w:basedOn w:val="15"/>
    <w:next w:val="11"/>
    <w:qFormat/>
    <w:uiPriority w:val="0"/>
    <w:pPr>
      <w:numPr>
        <w:ilvl w:val="2"/>
      </w:numPr>
      <w:spacing w:before="50" w:after="50"/>
      <w:outlineLvl w:val="3"/>
    </w:pPr>
  </w:style>
  <w:style w:type="paragraph" w:customStyle="1" w:styleId="18">
    <w:name w:val="三级条标题"/>
    <w:basedOn w:val="17"/>
    <w:next w:val="11"/>
    <w:qFormat/>
    <w:uiPriority w:val="0"/>
    <w:pPr>
      <w:numPr>
        <w:ilvl w:val="3"/>
      </w:numPr>
      <w:outlineLvl w:val="4"/>
    </w:pPr>
  </w:style>
  <w:style w:type="paragraph" w:customStyle="1" w:styleId="19">
    <w:name w:val="四级条标题"/>
    <w:basedOn w:val="18"/>
    <w:next w:val="11"/>
    <w:qFormat/>
    <w:uiPriority w:val="0"/>
    <w:pPr>
      <w:numPr>
        <w:ilvl w:val="4"/>
      </w:numPr>
      <w:outlineLvl w:val="5"/>
    </w:pPr>
  </w:style>
  <w:style w:type="paragraph" w:customStyle="1" w:styleId="20">
    <w:name w:val="五级条标题"/>
    <w:basedOn w:val="19"/>
    <w:next w:val="11"/>
    <w:qFormat/>
    <w:uiPriority w:val="0"/>
    <w:pPr>
      <w:numPr>
        <w:ilvl w:val="5"/>
      </w:numPr>
      <w:outlineLvl w:val="6"/>
    </w:pPr>
  </w:style>
  <w:style w:type="paragraph" w:customStyle="1" w:styleId="21">
    <w:name w:val="注："/>
    <w:next w:val="11"/>
    <w:qFormat/>
    <w:uiPriority w:val="0"/>
    <w:pPr>
      <w:widowControl w:val="0"/>
      <w:numPr>
        <w:ilvl w:val="0"/>
        <w:numId w:val="4"/>
      </w:numPr>
      <w:autoSpaceDE w:val="0"/>
      <w:autoSpaceDN w:val="0"/>
      <w:ind w:left="726" w:hanging="363"/>
      <w:jc w:val="both"/>
    </w:pPr>
    <w:rPr>
      <w:rFonts w:ascii="宋体" w:hAnsi="Times New Roman" w:eastAsia="宋体" w:cs="Times New Roman"/>
      <w:sz w:val="18"/>
      <w:szCs w:val="18"/>
      <w:lang w:val="en-US" w:eastAsia="zh-CN" w:bidi="ar-SA"/>
    </w:rPr>
  </w:style>
  <w:style w:type="paragraph" w:customStyle="1" w:styleId="22">
    <w:name w:val="附录图标号"/>
    <w:basedOn w:val="1"/>
    <w:qFormat/>
    <w:uiPriority w:val="0"/>
    <w:pPr>
      <w:keepNext/>
      <w:pageBreakBefore/>
      <w:widowControl/>
      <w:numPr>
        <w:ilvl w:val="0"/>
        <w:numId w:val="5"/>
      </w:numPr>
      <w:spacing w:line="14" w:lineRule="exact"/>
      <w:ind w:left="0" w:firstLine="363"/>
      <w:jc w:val="center"/>
      <w:outlineLvl w:val="0"/>
    </w:pPr>
    <w:rPr>
      <w:color w:val="FFFFFF"/>
    </w:rPr>
  </w:style>
  <w:style w:type="paragraph" w:customStyle="1" w:styleId="23">
    <w:name w:val="附录图标题"/>
    <w:basedOn w:val="1"/>
    <w:next w:val="11"/>
    <w:qFormat/>
    <w:uiPriority w:val="0"/>
    <w:pPr>
      <w:numPr>
        <w:ilvl w:val="1"/>
        <w:numId w:val="5"/>
      </w:numPr>
      <w:tabs>
        <w:tab w:val="left" w:pos="363"/>
      </w:tabs>
      <w:spacing w:beforeLines="50" w:afterLines="50"/>
      <w:ind w:left="0" w:firstLine="0"/>
      <w:jc w:val="center"/>
    </w:pPr>
    <w:rPr>
      <w:rFonts w:ascii="黑体" w:eastAsia="黑体"/>
      <w:szCs w:val="21"/>
    </w:rPr>
  </w:style>
  <w:style w:type="paragraph" w:customStyle="1" w:styleId="24">
    <w:name w:val="注×：（正文）"/>
    <w:qFormat/>
    <w:uiPriority w:val="0"/>
    <w:pPr>
      <w:numPr>
        <w:ilvl w:val="0"/>
        <w:numId w:val="6"/>
      </w:numPr>
      <w:jc w:val="both"/>
    </w:pPr>
    <w:rPr>
      <w:rFonts w:ascii="宋体" w:hAnsi="Times New Roman" w:eastAsia="宋体" w:cs="Times New Roman"/>
      <w:sz w:val="18"/>
      <w:szCs w:val="18"/>
      <w:lang w:val="en-US" w:eastAsia="zh-CN" w:bidi="ar-SA"/>
    </w:rPr>
  </w:style>
  <w:style w:type="paragraph" w:customStyle="1" w:styleId="25">
    <w:name w:val="图表脚注说明"/>
    <w:basedOn w:val="1"/>
    <w:qFormat/>
    <w:uiPriority w:val="0"/>
    <w:pPr>
      <w:numPr>
        <w:ilvl w:val="0"/>
        <w:numId w:val="7"/>
      </w:numPr>
    </w:pPr>
    <w:rPr>
      <w:rFonts w:ascii="宋体"/>
      <w:sz w:val="18"/>
      <w:szCs w:val="18"/>
    </w:rPr>
  </w:style>
  <w:style w:type="character" w:customStyle="1" w:styleId="26">
    <w:name w:val="段 Char"/>
    <w:basedOn w:val="8"/>
    <w:link w:val="11"/>
    <w:qFormat/>
    <w:uiPriority w:val="0"/>
    <w:rPr>
      <w:rFonts w:ascii="宋体"/>
      <w:sz w:val="21"/>
      <w:lang w:val="en-US" w:eastAsia="zh-CN" w:bidi="ar-SA"/>
    </w:rPr>
  </w:style>
  <w:style w:type="character" w:customStyle="1" w:styleId="27">
    <w:name w:val="页眉 字符"/>
    <w:basedOn w:val="8"/>
    <w:link w:val="4"/>
    <w:qFormat/>
    <w:uiPriority w:val="0"/>
    <w:rPr>
      <w:kern w:val="2"/>
      <w:sz w:val="18"/>
      <w:szCs w:val="18"/>
    </w:rPr>
  </w:style>
  <w:style w:type="character" w:customStyle="1" w:styleId="28">
    <w:name w:val="页脚 字符"/>
    <w:basedOn w:val="8"/>
    <w:link w:val="3"/>
    <w:qFormat/>
    <w:uiPriority w:val="99"/>
    <w:rPr>
      <w:kern w:val="2"/>
      <w:sz w:val="18"/>
      <w:szCs w:val="18"/>
    </w:rPr>
  </w:style>
  <w:style w:type="paragraph" w:customStyle="1" w:styleId="29">
    <w:name w:val="附录表标题"/>
    <w:basedOn w:val="1"/>
    <w:next w:val="11"/>
    <w:qFormat/>
    <w:uiPriority w:val="0"/>
    <w:pPr>
      <w:numPr>
        <w:ilvl w:val="1"/>
        <w:numId w:val="8"/>
      </w:numPr>
      <w:tabs>
        <w:tab w:val="left" w:pos="180"/>
      </w:tabs>
      <w:spacing w:beforeLines="50" w:afterLines="50"/>
      <w:ind w:left="0" w:firstLine="0"/>
      <w:jc w:val="center"/>
    </w:pPr>
    <w:rPr>
      <w:rFonts w:ascii="黑体" w:eastAsia="黑体"/>
      <w:szCs w:val="21"/>
    </w:rPr>
  </w:style>
  <w:style w:type="paragraph" w:styleId="30">
    <w:name w:val="List Paragraph"/>
    <w:basedOn w:val="1"/>
    <w:unhideWhenUsed/>
    <w:qFormat/>
    <w:uiPriority w:val="34"/>
    <w:pPr>
      <w:ind w:firstLine="420" w:firstLineChars="200"/>
    </w:pPr>
  </w:style>
  <w:style w:type="paragraph" w:customStyle="1" w:styleId="31">
    <w:name w:val="其他标准称谓"/>
    <w:qFormat/>
    <w:uiPriority w:val="0"/>
    <w:pPr>
      <w:spacing w:line="0" w:lineRule="atLeast"/>
      <w:jc w:val="distribute"/>
    </w:pPr>
    <w:rPr>
      <w:rFonts w:ascii="黑体" w:hAnsi="宋体" w:eastAsia="黑体" w:cs="Times New Roman"/>
      <w:sz w:val="52"/>
      <w:lang w:val="en-US" w:eastAsia="zh-CN" w:bidi="ar-SA"/>
    </w:rPr>
  </w:style>
  <w:style w:type="paragraph" w:customStyle="1" w:styleId="32">
    <w:name w:val="封面标准号1"/>
    <w:qFormat/>
    <w:uiPriority w:val="0"/>
    <w:pPr>
      <w:widowControl w:val="0"/>
      <w:kinsoku w:val="0"/>
      <w:overflowPunct w:val="0"/>
      <w:autoSpaceDE w:val="0"/>
      <w:autoSpaceDN w:val="0"/>
      <w:spacing w:before="308"/>
      <w:jc w:val="right"/>
      <w:textAlignment w:val="center"/>
    </w:pPr>
    <w:rPr>
      <w:rFonts w:ascii="Times New Roman" w:hAnsi="Times New Roman" w:eastAsia="宋体" w:cs="Times New Roman"/>
      <w:sz w:val="28"/>
      <w:lang w:val="en-US" w:eastAsia="zh-CN" w:bidi="ar-SA"/>
    </w:rPr>
  </w:style>
  <w:style w:type="character" w:customStyle="1" w:styleId="33">
    <w:name w:val="发布"/>
    <w:qFormat/>
    <w:uiPriority w:val="0"/>
    <w:rPr>
      <w:rFonts w:ascii="黑体" w:eastAsia="黑体"/>
      <w:spacing w:val="22"/>
      <w:w w:val="100"/>
      <w:position w:val="3"/>
      <w:sz w:val="28"/>
    </w:rPr>
  </w:style>
  <w:style w:type="paragraph" w:customStyle="1" w:styleId="34">
    <w:name w:val="其他发布部门"/>
    <w:basedOn w:val="1"/>
    <w:qFormat/>
    <w:uiPriority w:val="0"/>
    <w:pPr>
      <w:widowControl/>
      <w:spacing w:line="0" w:lineRule="atLeast"/>
      <w:jc w:val="center"/>
    </w:pPr>
    <w:rPr>
      <w:rFonts w:ascii="黑体" w:eastAsia="黑体"/>
      <w:spacing w:val="20"/>
      <w:w w:val="135"/>
      <w:kern w:val="0"/>
      <w:sz w:val="36"/>
      <w:szCs w:val="20"/>
    </w:rPr>
  </w:style>
  <w:style w:type="paragraph" w:customStyle="1" w:styleId="35">
    <w:name w:val="标准文件_段"/>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character" w:customStyle="1" w:styleId="36">
    <w:name w:val="批注框文本 字符"/>
    <w:basedOn w:val="8"/>
    <w:link w:val="2"/>
    <w:semiHidden/>
    <w:qFormat/>
    <w:uiPriority w:val="0"/>
    <w:rPr>
      <w:rFonts w:ascii="Times New Roman" w:hAnsi="Times New Roman"/>
      <w:kern w:val="2"/>
      <w:sz w:val="18"/>
      <w:szCs w:val="18"/>
    </w:rPr>
  </w:style>
  <w:style w:type="paragraph" w:customStyle="1" w:styleId="37">
    <w:name w:val="标准文件_一级条标题"/>
    <w:basedOn w:val="38"/>
    <w:next w:val="35"/>
    <w:qFormat/>
    <w:uiPriority w:val="0"/>
    <w:pPr>
      <w:numPr>
        <w:ilvl w:val="2"/>
      </w:numPr>
      <w:spacing w:beforeLines="50" w:afterLines="50"/>
      <w:outlineLvl w:val="1"/>
    </w:pPr>
  </w:style>
  <w:style w:type="paragraph" w:customStyle="1" w:styleId="38">
    <w:name w:val="标准文件_章标题"/>
    <w:next w:val="35"/>
    <w:qFormat/>
    <w:uiPriority w:val="0"/>
    <w:pPr>
      <w:numPr>
        <w:ilvl w:val="1"/>
        <w:numId w:val="9"/>
      </w:numPr>
      <w:spacing w:beforeLines="100" w:afterLines="100"/>
      <w:jc w:val="both"/>
      <w:outlineLvl w:val="0"/>
    </w:pPr>
    <w:rPr>
      <w:rFonts w:ascii="黑体" w:hAnsi="Times New Roman" w:eastAsia="黑体" w:cs="Times New Roman"/>
      <w:sz w:val="21"/>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footer" Target="footer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2" Type="http://schemas.openxmlformats.org/officeDocument/2006/relationships/fontTable" Target="fontTable.xml"/><Relationship Id="rId11" Type="http://schemas.openxmlformats.org/officeDocument/2006/relationships/numbering" Target="numbering.xml"/><Relationship Id="rId10" Type="http://schemas.openxmlformats.org/officeDocument/2006/relationships/image" Target="media/image4.png"/><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Company>WWW.YlmF.CoM</Company>
  <Pages>20</Pages>
  <Words>5120</Words>
  <Characters>5444</Characters>
  <Lines>2</Lines>
  <Paragraphs>5</Paragraphs>
  <TotalTime>13</TotalTime>
  <ScaleCrop>false</ScaleCrop>
  <LinksUpToDate>false</LinksUpToDate>
  <CharactersWithSpaces>5483</CharactersWithSpaces>
  <Application>WPS Office_12.1.0.26375_F1E327BC-269C-435d-A152-05C5408002CA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2023-08-14T06:51:00Z</dcterms:created>
  <dc:creator>USER</dc:creator>
  <cp:lastModifiedBy>河中鱼</cp:lastModifiedBy>
  <cp:lastPrinted>2019-07-10T11:21:00Z</cp:lastPrinted>
  <dcterms:modified xsi:type="dcterms:W3CDTF">2026-06-09T10:49:34Z</dcterms:modified>
  <dc:title>广西地方标准《脱氢枞酸》（征求意见稿）</dc:title>
  <cp:revision>60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2052-12.1.0.26375</vt:lpwstr>
  </property>
  <property fmtid="{D5CDD505-2E9C-101B-9397-08002B2CF9AE}" pid="3" name="ICV">
    <vt:lpwstr>484DF7F1BEB842158BCD0584349217B5</vt:lpwstr>
  </property>
  <property fmtid="{D5CDD505-2E9C-101B-9397-08002B2CF9AE}" pid="4" name="KSOTemplateDocerSaveRecord">
    <vt:lpwstr>eyJoZGlkIjoiYWU5ODIyNDQzMTFlYmNiMzlhMmFkNjExNWM2YjM4YTYiLCJ1c2VySWQiOiIxNjgzMDY0NzMzIn0=</vt:lpwstr>
  </property>
</Properties>
</file>